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114B" w14:textId="4F2ADBF9" w:rsidR="00592BB8" w:rsidRPr="00D2027A" w:rsidRDefault="00592BB8" w:rsidP="00D2027A">
      <w:pPr>
        <w:tabs>
          <w:tab w:val="left" w:pos="567"/>
        </w:tabs>
        <w:rPr>
          <w:b/>
          <w:sz w:val="22"/>
          <w:szCs w:val="22"/>
        </w:rPr>
      </w:pPr>
      <w:r w:rsidRPr="00D2027A">
        <w:rPr>
          <w:b/>
          <w:sz w:val="22"/>
          <w:szCs w:val="22"/>
        </w:rPr>
        <w:t xml:space="preserve">Invitation to the IAEA Proficiency Test for </w:t>
      </w:r>
      <w:r w:rsidR="00B43A75" w:rsidRPr="00D2027A">
        <w:rPr>
          <w:b/>
          <w:sz w:val="22"/>
          <w:szCs w:val="22"/>
        </w:rPr>
        <w:t>Nuclear and Related Analytical Techniques</w:t>
      </w:r>
      <w:r w:rsidRPr="00D2027A">
        <w:rPr>
          <w:b/>
          <w:sz w:val="22"/>
          <w:szCs w:val="22"/>
        </w:rPr>
        <w:t xml:space="preserve"> Laboratories (</w:t>
      </w:r>
      <w:r w:rsidR="00D4621D" w:rsidRPr="00D2027A">
        <w:rPr>
          <w:b/>
          <w:sz w:val="22"/>
          <w:szCs w:val="22"/>
        </w:rPr>
        <w:t>PTNATIAEA/</w:t>
      </w:r>
      <w:r w:rsidR="0063745F">
        <w:rPr>
          <w:b/>
          <w:sz w:val="22"/>
          <w:szCs w:val="22"/>
        </w:rPr>
        <w:t>2</w:t>
      </w:r>
      <w:r w:rsidR="00685822">
        <w:rPr>
          <w:b/>
          <w:sz w:val="22"/>
          <w:szCs w:val="22"/>
        </w:rPr>
        <w:t>3</w:t>
      </w:r>
      <w:r w:rsidRPr="00D2027A">
        <w:rPr>
          <w:b/>
          <w:sz w:val="22"/>
          <w:szCs w:val="22"/>
        </w:rPr>
        <w:t>)</w:t>
      </w:r>
    </w:p>
    <w:p w14:paraId="0E715745" w14:textId="77777777" w:rsidR="00592BB8" w:rsidRPr="00D2027A" w:rsidRDefault="00592BB8" w:rsidP="00592BB8">
      <w:pPr>
        <w:tabs>
          <w:tab w:val="left" w:pos="567"/>
        </w:tabs>
        <w:jc w:val="both"/>
        <w:rPr>
          <w:sz w:val="22"/>
          <w:szCs w:val="22"/>
        </w:rPr>
      </w:pPr>
    </w:p>
    <w:p w14:paraId="2D2DB0A2" w14:textId="77777777" w:rsidR="00592BB8" w:rsidRPr="00D2027A" w:rsidRDefault="00592BB8" w:rsidP="00592BB8">
      <w:pPr>
        <w:tabs>
          <w:tab w:val="left" w:pos="567"/>
        </w:tabs>
        <w:spacing w:before="60" w:afterLines="60" w:after="144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Dear Madam/Sir: </w:t>
      </w:r>
    </w:p>
    <w:p w14:paraId="4CDE0407" w14:textId="0D14E7AF" w:rsidR="00592BB8" w:rsidRPr="00D2027A" w:rsidRDefault="00592BB8" w:rsidP="00592BB8">
      <w:pPr>
        <w:tabs>
          <w:tab w:val="left" w:pos="567"/>
        </w:tabs>
        <w:spacing w:before="60" w:afterLines="60" w:after="144"/>
        <w:jc w:val="both"/>
        <w:rPr>
          <w:sz w:val="22"/>
          <w:szCs w:val="22"/>
        </w:rPr>
      </w:pPr>
      <w:r w:rsidRPr="00D2027A">
        <w:rPr>
          <w:sz w:val="22"/>
          <w:szCs w:val="22"/>
        </w:rPr>
        <w:t>The IAEA Nuclear Science and Instrumentation Laboratory (NSIL) invite</w:t>
      </w:r>
      <w:r w:rsidR="00623D42" w:rsidRPr="00D2027A">
        <w:rPr>
          <w:sz w:val="22"/>
          <w:szCs w:val="22"/>
        </w:rPr>
        <w:t>s</w:t>
      </w:r>
      <w:r w:rsidRPr="00D2027A">
        <w:rPr>
          <w:sz w:val="22"/>
          <w:szCs w:val="22"/>
        </w:rPr>
        <w:t xml:space="preserve"> you to take part in the worldwide proficiency test designed for the </w:t>
      </w:r>
      <w:r w:rsidR="00930279" w:rsidRPr="00D2027A">
        <w:rPr>
          <w:sz w:val="22"/>
          <w:szCs w:val="22"/>
        </w:rPr>
        <w:t>Nuclear and Related Analytical Techniques</w:t>
      </w:r>
      <w:r w:rsidR="005410DD" w:rsidRPr="00D2027A">
        <w:rPr>
          <w:sz w:val="22"/>
          <w:szCs w:val="22"/>
        </w:rPr>
        <w:t xml:space="preserve"> L</w:t>
      </w:r>
      <w:r w:rsidRPr="00D2027A">
        <w:rPr>
          <w:sz w:val="22"/>
          <w:szCs w:val="22"/>
        </w:rPr>
        <w:t xml:space="preserve">aboratories involved in the analysis of various materials. </w:t>
      </w:r>
      <w:r w:rsidR="00536694" w:rsidRPr="00D2027A">
        <w:rPr>
          <w:sz w:val="22"/>
          <w:szCs w:val="22"/>
        </w:rPr>
        <w:t xml:space="preserve">Participating in a Proficiency Test </w:t>
      </w:r>
      <w:r w:rsidRPr="00D2027A">
        <w:rPr>
          <w:sz w:val="22"/>
          <w:szCs w:val="22"/>
        </w:rPr>
        <w:t xml:space="preserve">is one of the most effective ways for a laboratory to monitor and assess its analytical performance. It can be used </w:t>
      </w:r>
      <w:proofErr w:type="gramStart"/>
      <w:r w:rsidRPr="00D2027A">
        <w:rPr>
          <w:sz w:val="22"/>
          <w:szCs w:val="22"/>
        </w:rPr>
        <w:t>as a way to</w:t>
      </w:r>
      <w:proofErr w:type="gramEnd"/>
      <w:r w:rsidRPr="00D2027A">
        <w:rPr>
          <w:sz w:val="22"/>
          <w:szCs w:val="22"/>
        </w:rPr>
        <w:t xml:space="preserve"> identify the results with unsuspected bias and to improve the quality of the analytical services provided. </w:t>
      </w:r>
      <w:r w:rsidR="002C545B" w:rsidRPr="002C545B">
        <w:rPr>
          <w:sz w:val="22"/>
          <w:szCs w:val="22"/>
        </w:rPr>
        <w:t xml:space="preserve">If you are interested in participating in the exercise, please confirm it on the website </w:t>
      </w:r>
      <w:hyperlink r:id="rId10" w:history="1">
        <w:r w:rsidR="00936A82" w:rsidRPr="00642268">
          <w:rPr>
            <w:rStyle w:val="Hyperlink"/>
            <w:sz w:val="22"/>
            <w:szCs w:val="22"/>
          </w:rPr>
          <w:t>www.pt-nsil.com</w:t>
        </w:r>
      </w:hyperlink>
      <w:r w:rsidR="00AC3082">
        <w:rPr>
          <w:sz w:val="22"/>
          <w:szCs w:val="22"/>
        </w:rPr>
        <w:t xml:space="preserve"> </w:t>
      </w:r>
      <w:r w:rsidR="002C545B" w:rsidRPr="002C545B">
        <w:rPr>
          <w:sz w:val="22"/>
          <w:szCs w:val="22"/>
        </w:rPr>
        <w:t>by 03 April 2026.</w:t>
      </w:r>
    </w:p>
    <w:p w14:paraId="7C4D5DD3" w14:textId="4E71A415" w:rsidR="00592BB8" w:rsidRPr="00D2027A" w:rsidRDefault="00592BB8" w:rsidP="00592BB8">
      <w:pPr>
        <w:tabs>
          <w:tab w:val="left" w:pos="567"/>
        </w:tabs>
        <w:spacing w:before="60" w:afterLines="60" w:after="144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The test involves distributing to participating </w:t>
      </w:r>
      <w:r w:rsidRPr="00F51BA0">
        <w:rPr>
          <w:sz w:val="22"/>
          <w:szCs w:val="22"/>
        </w:rPr>
        <w:t xml:space="preserve">laboratories (tentatively by </w:t>
      </w:r>
      <w:r w:rsidR="008C6E62">
        <w:rPr>
          <w:sz w:val="22"/>
          <w:szCs w:val="22"/>
        </w:rPr>
        <w:t xml:space="preserve">end of </w:t>
      </w:r>
      <w:r w:rsidR="00412160">
        <w:rPr>
          <w:sz w:val="22"/>
          <w:szCs w:val="22"/>
        </w:rPr>
        <w:t>April</w:t>
      </w:r>
      <w:r w:rsidR="001A23A7" w:rsidRPr="00F51BA0">
        <w:rPr>
          <w:sz w:val="22"/>
          <w:szCs w:val="22"/>
        </w:rPr>
        <w:t xml:space="preserve"> 202</w:t>
      </w:r>
      <w:r w:rsidR="008C6E62">
        <w:rPr>
          <w:sz w:val="22"/>
          <w:szCs w:val="22"/>
        </w:rPr>
        <w:t>6</w:t>
      </w:r>
      <w:r w:rsidRPr="00F51BA0">
        <w:rPr>
          <w:sz w:val="22"/>
          <w:szCs w:val="22"/>
        </w:rPr>
        <w:t xml:space="preserve">) a </w:t>
      </w:r>
      <w:r w:rsidR="008C6E62">
        <w:rPr>
          <w:sz w:val="22"/>
          <w:szCs w:val="22"/>
        </w:rPr>
        <w:t>soil</w:t>
      </w:r>
      <w:r w:rsidRPr="00F51BA0">
        <w:rPr>
          <w:sz w:val="22"/>
          <w:szCs w:val="22"/>
        </w:rPr>
        <w:t xml:space="preserve"> sample</w:t>
      </w:r>
      <w:r w:rsidR="001A23A7" w:rsidRPr="00F51BA0">
        <w:t xml:space="preserve"> </w:t>
      </w:r>
      <w:r w:rsidR="00FC2C89" w:rsidRPr="00F51BA0">
        <w:rPr>
          <w:sz w:val="22"/>
          <w:szCs w:val="22"/>
        </w:rPr>
        <w:t xml:space="preserve">and a plant sample </w:t>
      </w:r>
      <w:r w:rsidRPr="00F51BA0">
        <w:rPr>
          <w:sz w:val="22"/>
          <w:szCs w:val="22"/>
        </w:rPr>
        <w:t>with well-established homogeneity and composition. The laboratories are required to analyse t</w:t>
      </w:r>
      <w:r w:rsidRPr="00D2027A">
        <w:rPr>
          <w:sz w:val="22"/>
          <w:szCs w:val="22"/>
        </w:rPr>
        <w:t>he sample</w:t>
      </w:r>
      <w:r w:rsidR="00412160">
        <w:rPr>
          <w:sz w:val="22"/>
          <w:szCs w:val="22"/>
        </w:rPr>
        <w:t>s</w:t>
      </w:r>
      <w:r w:rsidRPr="00D2027A">
        <w:rPr>
          <w:sz w:val="22"/>
          <w:szCs w:val="22"/>
        </w:rPr>
        <w:t xml:space="preserve"> to determine the mass fraction of the elements found in the sample by following their established analytical procedures. The results must be </w:t>
      </w:r>
      <w:r w:rsidR="005410DD" w:rsidRPr="00D2027A">
        <w:rPr>
          <w:sz w:val="22"/>
          <w:szCs w:val="22"/>
        </w:rPr>
        <w:t>uploaded</w:t>
      </w:r>
      <w:r w:rsidRPr="00D2027A">
        <w:rPr>
          <w:sz w:val="22"/>
          <w:szCs w:val="22"/>
        </w:rPr>
        <w:t xml:space="preserve"> into the PT </w:t>
      </w:r>
      <w:r w:rsidR="008A1BF3" w:rsidRPr="00D2027A">
        <w:rPr>
          <w:sz w:val="22"/>
          <w:szCs w:val="22"/>
        </w:rPr>
        <w:t xml:space="preserve">website </w:t>
      </w:r>
      <w:hyperlink r:id="rId11" w:history="1">
        <w:r w:rsidR="008A1BF3" w:rsidRPr="00D2027A">
          <w:rPr>
            <w:rStyle w:val="Hyperlink"/>
            <w:sz w:val="22"/>
            <w:szCs w:val="22"/>
          </w:rPr>
          <w:t>www.pt-nsil.com</w:t>
        </w:r>
      </w:hyperlink>
      <w:r w:rsidR="008A1BF3" w:rsidRPr="00D2027A">
        <w:rPr>
          <w:sz w:val="22"/>
          <w:szCs w:val="22"/>
        </w:rPr>
        <w:t xml:space="preserve"> </w:t>
      </w:r>
      <w:r w:rsidRPr="00F51BA0">
        <w:rPr>
          <w:sz w:val="22"/>
          <w:szCs w:val="22"/>
        </w:rPr>
        <w:t xml:space="preserve">by </w:t>
      </w:r>
      <w:r w:rsidR="005D4AEA">
        <w:rPr>
          <w:sz w:val="22"/>
          <w:szCs w:val="22"/>
        </w:rPr>
        <w:t>3</w:t>
      </w:r>
      <w:r w:rsidR="00883FC5">
        <w:rPr>
          <w:sz w:val="22"/>
          <w:szCs w:val="22"/>
        </w:rPr>
        <w:t>0</w:t>
      </w:r>
      <w:r w:rsidR="00D4621D" w:rsidRPr="00F51BA0">
        <w:rPr>
          <w:sz w:val="22"/>
          <w:szCs w:val="22"/>
        </w:rPr>
        <w:t xml:space="preserve"> </w:t>
      </w:r>
      <w:r w:rsidR="005D4AEA">
        <w:rPr>
          <w:sz w:val="22"/>
          <w:szCs w:val="22"/>
        </w:rPr>
        <w:t>October</w:t>
      </w:r>
      <w:r w:rsidR="00D4621D" w:rsidRPr="00F51BA0">
        <w:rPr>
          <w:sz w:val="22"/>
          <w:szCs w:val="22"/>
        </w:rPr>
        <w:t xml:space="preserve"> 202</w:t>
      </w:r>
      <w:r w:rsidR="00883FC5">
        <w:rPr>
          <w:sz w:val="22"/>
          <w:szCs w:val="22"/>
        </w:rPr>
        <w:t>6</w:t>
      </w:r>
      <w:r w:rsidRPr="00D2027A">
        <w:rPr>
          <w:sz w:val="22"/>
          <w:szCs w:val="22"/>
        </w:rPr>
        <w:t xml:space="preserve"> for further evaluation </w:t>
      </w:r>
      <w:r w:rsidR="00623D42" w:rsidRPr="00D2027A">
        <w:rPr>
          <w:sz w:val="22"/>
          <w:szCs w:val="22"/>
        </w:rPr>
        <w:t xml:space="preserve">by NSIL </w:t>
      </w:r>
      <w:r w:rsidRPr="00D2027A">
        <w:rPr>
          <w:sz w:val="22"/>
          <w:szCs w:val="22"/>
        </w:rPr>
        <w:t>according to recognized international procedures</w:t>
      </w:r>
      <w:r w:rsidR="00623D42" w:rsidRPr="00D2027A">
        <w:rPr>
          <w:sz w:val="22"/>
          <w:szCs w:val="22"/>
        </w:rPr>
        <w:t xml:space="preserve"> (ISO 17043 and ISO13528)</w:t>
      </w:r>
      <w:r w:rsidR="00C300A7" w:rsidRPr="00D2027A">
        <w:rPr>
          <w:sz w:val="22"/>
          <w:szCs w:val="22"/>
        </w:rPr>
        <w:t>.</w:t>
      </w:r>
      <w:r w:rsidRPr="00D2027A">
        <w:rPr>
          <w:sz w:val="22"/>
          <w:szCs w:val="22"/>
        </w:rPr>
        <w:t xml:space="preserve"> All results will be treated as confidential and each laboratory participating in the exercise will receive a code known only </w:t>
      </w:r>
      <w:r w:rsidR="005410DD" w:rsidRPr="00D2027A">
        <w:rPr>
          <w:sz w:val="22"/>
          <w:szCs w:val="22"/>
        </w:rPr>
        <w:t>by</w:t>
      </w:r>
      <w:r w:rsidRPr="00D2027A">
        <w:rPr>
          <w:sz w:val="22"/>
          <w:szCs w:val="22"/>
        </w:rPr>
        <w:t xml:space="preserve"> this laboratory.</w:t>
      </w:r>
    </w:p>
    <w:p w14:paraId="3F156D53" w14:textId="27EB41B8" w:rsidR="00592BB8" w:rsidRPr="00D2027A" w:rsidRDefault="00592BB8" w:rsidP="00592BB8">
      <w:pPr>
        <w:tabs>
          <w:tab w:val="left" w:pos="567"/>
        </w:tabs>
        <w:spacing w:before="60" w:afterLines="60" w:after="144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An electronic copy of the final report of the proficiency test containing all the results submitted by the participants will be uploaded to the website </w:t>
      </w:r>
      <w:hyperlink r:id="rId12" w:history="1">
        <w:r w:rsidR="002C332F" w:rsidRPr="00D2027A">
          <w:rPr>
            <w:rStyle w:val="Hyperlink"/>
            <w:sz w:val="22"/>
            <w:szCs w:val="22"/>
          </w:rPr>
          <w:t>www.pt-nsil.com</w:t>
        </w:r>
      </w:hyperlink>
      <w:r w:rsidR="002C332F" w:rsidRPr="00D2027A">
        <w:rPr>
          <w:sz w:val="22"/>
          <w:szCs w:val="22"/>
        </w:rPr>
        <w:t xml:space="preserve"> </w:t>
      </w:r>
      <w:r w:rsidR="00336BA6">
        <w:rPr>
          <w:sz w:val="22"/>
          <w:szCs w:val="22"/>
        </w:rPr>
        <w:t xml:space="preserve">by </w:t>
      </w:r>
      <w:r w:rsidR="00456C40">
        <w:rPr>
          <w:sz w:val="22"/>
          <w:szCs w:val="22"/>
        </w:rPr>
        <w:t>18 December 2026</w:t>
      </w:r>
      <w:r w:rsidRPr="00D2027A">
        <w:rPr>
          <w:sz w:val="22"/>
          <w:szCs w:val="22"/>
        </w:rPr>
        <w:t>. The reports from previous exercises are available for download</w:t>
      </w:r>
      <w:r w:rsidR="005410DD" w:rsidRPr="00D2027A">
        <w:rPr>
          <w:sz w:val="22"/>
          <w:szCs w:val="22"/>
        </w:rPr>
        <w:t xml:space="preserve"> at the home page of the website</w:t>
      </w:r>
      <w:r w:rsidRPr="00D2027A">
        <w:rPr>
          <w:sz w:val="22"/>
          <w:szCs w:val="22"/>
        </w:rPr>
        <w:t xml:space="preserve">. </w:t>
      </w:r>
    </w:p>
    <w:p w14:paraId="340FE4CA" w14:textId="59385358" w:rsidR="00592BB8" w:rsidRPr="00D2027A" w:rsidRDefault="00592BB8" w:rsidP="00592BB8">
      <w:pPr>
        <w:tabs>
          <w:tab w:val="left" w:pos="567"/>
        </w:tabs>
        <w:spacing w:before="60" w:afterLines="60" w:after="144"/>
        <w:jc w:val="both"/>
        <w:rPr>
          <w:sz w:val="22"/>
          <w:szCs w:val="22"/>
        </w:rPr>
      </w:pPr>
      <w:r w:rsidRPr="00D2027A">
        <w:rPr>
          <w:sz w:val="22"/>
          <w:szCs w:val="22"/>
        </w:rPr>
        <w:t>Based on the results of the proficiency test</w:t>
      </w:r>
      <w:r w:rsidR="005410DD" w:rsidRPr="00D2027A">
        <w:rPr>
          <w:sz w:val="22"/>
          <w:szCs w:val="22"/>
        </w:rPr>
        <w:t>,</w:t>
      </w:r>
      <w:r w:rsidRPr="00D2027A">
        <w:rPr>
          <w:sz w:val="22"/>
          <w:szCs w:val="22"/>
        </w:rPr>
        <w:t xml:space="preserve"> each participating laboratory will be able to assess </w:t>
      </w:r>
      <w:r w:rsidR="005410DD" w:rsidRPr="00D2027A">
        <w:rPr>
          <w:sz w:val="22"/>
          <w:szCs w:val="22"/>
        </w:rPr>
        <w:t>its</w:t>
      </w:r>
      <w:r w:rsidRPr="00D2027A">
        <w:rPr>
          <w:sz w:val="22"/>
          <w:szCs w:val="22"/>
        </w:rPr>
        <w:t xml:space="preserve"> analytical results in comparison with the specified standard of performance </w:t>
      </w:r>
      <w:r w:rsidR="00623D42" w:rsidRPr="00D2027A">
        <w:rPr>
          <w:sz w:val="22"/>
          <w:szCs w:val="22"/>
        </w:rPr>
        <w:t xml:space="preserve">based on </w:t>
      </w:r>
      <w:r w:rsidR="00623D42" w:rsidRPr="00D2027A">
        <w:rPr>
          <w:i/>
          <w:iCs/>
          <w:sz w:val="22"/>
          <w:szCs w:val="22"/>
        </w:rPr>
        <w:t>z</w:t>
      </w:r>
      <w:r w:rsidR="00623D42" w:rsidRPr="00D2027A">
        <w:rPr>
          <w:sz w:val="22"/>
          <w:szCs w:val="22"/>
        </w:rPr>
        <w:t xml:space="preserve">-, </w:t>
      </w:r>
      <w:r w:rsidR="00623D42" w:rsidRPr="00D2027A">
        <w:rPr>
          <w:i/>
          <w:iCs/>
          <w:sz w:val="22"/>
          <w:szCs w:val="22"/>
        </w:rPr>
        <w:t>z’</w:t>
      </w:r>
      <w:r w:rsidR="00623D42" w:rsidRPr="00D2027A">
        <w:rPr>
          <w:sz w:val="22"/>
          <w:szCs w:val="22"/>
        </w:rPr>
        <w:t xml:space="preserve">- and </w:t>
      </w:r>
      <w:r w:rsidR="00623D42" w:rsidRPr="00D2027A">
        <w:rPr>
          <w:i/>
          <w:iCs/>
          <w:sz w:val="22"/>
          <w:szCs w:val="22"/>
        </w:rPr>
        <w:t>Zeta</w:t>
      </w:r>
      <w:r w:rsidR="00623D42" w:rsidRPr="00D2027A">
        <w:rPr>
          <w:sz w:val="22"/>
          <w:szCs w:val="22"/>
        </w:rPr>
        <w:t>-scores</w:t>
      </w:r>
      <w:r w:rsidR="007C748F" w:rsidRPr="00D2027A">
        <w:rPr>
          <w:sz w:val="22"/>
          <w:szCs w:val="22"/>
        </w:rPr>
        <w:t xml:space="preserve"> </w:t>
      </w:r>
      <w:r w:rsidRPr="00D2027A">
        <w:rPr>
          <w:sz w:val="22"/>
          <w:szCs w:val="22"/>
        </w:rPr>
        <w:t>and, if appropriate, to identify discrepancies and to correct their analytical procedures.</w:t>
      </w:r>
    </w:p>
    <w:p w14:paraId="60C8F8D7" w14:textId="79C30798" w:rsidR="00592BB8" w:rsidRPr="00D2027A" w:rsidRDefault="00592BB8" w:rsidP="00592BB8">
      <w:pPr>
        <w:tabs>
          <w:tab w:val="left" w:pos="567"/>
        </w:tabs>
        <w:spacing w:before="60" w:afterLines="60" w:after="144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We would be grateful if you accept the invitation to take part in the </w:t>
      </w:r>
      <w:r w:rsidR="00536694" w:rsidRPr="00D2027A">
        <w:rPr>
          <w:sz w:val="22"/>
          <w:szCs w:val="22"/>
        </w:rPr>
        <w:t xml:space="preserve">current </w:t>
      </w:r>
      <w:r w:rsidRPr="00D2027A">
        <w:rPr>
          <w:sz w:val="22"/>
          <w:szCs w:val="22"/>
        </w:rPr>
        <w:t>proficiency test</w:t>
      </w:r>
      <w:r w:rsidR="00536694" w:rsidRPr="00D2027A">
        <w:rPr>
          <w:sz w:val="22"/>
          <w:szCs w:val="22"/>
        </w:rPr>
        <w:t xml:space="preserve"> round</w:t>
      </w:r>
      <w:r w:rsidRPr="00D2027A">
        <w:rPr>
          <w:sz w:val="22"/>
          <w:szCs w:val="22"/>
        </w:rPr>
        <w:t xml:space="preserve">. All necessary details on the material for the analysis and the instructions for registration and reporting the results are provided </w:t>
      </w:r>
      <w:r w:rsidR="005D4AEA" w:rsidRPr="00D2027A">
        <w:rPr>
          <w:sz w:val="22"/>
          <w:szCs w:val="22"/>
        </w:rPr>
        <w:t>on</w:t>
      </w:r>
      <w:r w:rsidRPr="00D2027A">
        <w:rPr>
          <w:sz w:val="22"/>
          <w:szCs w:val="22"/>
        </w:rPr>
        <w:t xml:space="preserve"> the website. For additional information, feel free to contact the Proficiency Test Coordinator, </w:t>
      </w:r>
      <w:r w:rsidR="00FA249F" w:rsidRPr="00D2027A">
        <w:rPr>
          <w:sz w:val="22"/>
          <w:szCs w:val="22"/>
        </w:rPr>
        <w:t>Mr</w:t>
      </w:r>
      <w:r w:rsidR="003B19CD">
        <w:rPr>
          <w:sz w:val="22"/>
          <w:szCs w:val="22"/>
        </w:rPr>
        <w:t>.</w:t>
      </w:r>
      <w:r w:rsidR="00FA249F" w:rsidRPr="00D2027A">
        <w:rPr>
          <w:sz w:val="22"/>
          <w:szCs w:val="22"/>
        </w:rPr>
        <w:t xml:space="preserve"> </w:t>
      </w:r>
      <w:r w:rsidR="00D4621D" w:rsidRPr="00D2027A">
        <w:rPr>
          <w:sz w:val="22"/>
          <w:szCs w:val="22"/>
        </w:rPr>
        <w:t>Alessandro Migliori</w:t>
      </w:r>
      <w:r w:rsidRPr="00D2027A">
        <w:rPr>
          <w:sz w:val="22"/>
          <w:szCs w:val="22"/>
        </w:rPr>
        <w:t xml:space="preserve"> by email</w:t>
      </w:r>
      <w:r w:rsidR="00B66915" w:rsidRPr="00D2027A">
        <w:rPr>
          <w:sz w:val="22"/>
          <w:szCs w:val="22"/>
        </w:rPr>
        <w:t xml:space="preserve"> </w:t>
      </w:r>
      <w:r w:rsidR="00974807" w:rsidRPr="00D2027A">
        <w:rPr>
          <w:sz w:val="22"/>
          <w:szCs w:val="22"/>
        </w:rPr>
        <w:t xml:space="preserve">at </w:t>
      </w:r>
      <w:hyperlink r:id="rId13" w:history="1">
        <w:r w:rsidR="00A0203A" w:rsidRPr="00D2027A">
          <w:rPr>
            <w:rStyle w:val="Hyperlink"/>
            <w:sz w:val="22"/>
            <w:szCs w:val="22"/>
          </w:rPr>
          <w:t>A.Migliori@iaea.org</w:t>
        </w:r>
      </w:hyperlink>
      <w:r w:rsidRPr="00D2027A">
        <w:rPr>
          <w:sz w:val="22"/>
          <w:szCs w:val="22"/>
        </w:rPr>
        <w:t>.</w:t>
      </w:r>
    </w:p>
    <w:p w14:paraId="18FF39AF" w14:textId="77777777" w:rsidR="00592BB8" w:rsidRPr="00D2027A" w:rsidRDefault="00592BB8" w:rsidP="00592BB8">
      <w:pPr>
        <w:tabs>
          <w:tab w:val="left" w:pos="567"/>
        </w:tabs>
        <w:spacing w:before="60" w:afterLines="60" w:after="144"/>
        <w:jc w:val="both"/>
        <w:rPr>
          <w:sz w:val="22"/>
          <w:szCs w:val="22"/>
        </w:rPr>
      </w:pPr>
      <w:r w:rsidRPr="00D2027A">
        <w:rPr>
          <w:sz w:val="22"/>
          <w:szCs w:val="22"/>
        </w:rPr>
        <w:t>Thank you in advance for your positive response. Best regards.</w:t>
      </w:r>
    </w:p>
    <w:p w14:paraId="12549F6E" w14:textId="77777777" w:rsidR="00592BB8" w:rsidRPr="00D2027A" w:rsidRDefault="00592BB8" w:rsidP="00F572B4">
      <w:pPr>
        <w:tabs>
          <w:tab w:val="left" w:pos="567"/>
        </w:tabs>
        <w:ind w:left="4820"/>
        <w:rPr>
          <w:sz w:val="22"/>
          <w:szCs w:val="22"/>
        </w:rPr>
      </w:pPr>
      <w:bookmarkStart w:id="0" w:name="DOC_bkmClose"/>
      <w:r w:rsidRPr="00D2027A">
        <w:rPr>
          <w:sz w:val="22"/>
          <w:szCs w:val="22"/>
        </w:rPr>
        <w:t>Yours sincerely,</w:t>
      </w:r>
      <w:bookmarkEnd w:id="0"/>
    </w:p>
    <w:p w14:paraId="537502EC" w14:textId="2E47E488" w:rsidR="00592BB8" w:rsidRPr="00D2027A" w:rsidRDefault="0063745F" w:rsidP="00F572B4">
      <w:pPr>
        <w:tabs>
          <w:tab w:val="left" w:pos="567"/>
        </w:tabs>
        <w:ind w:left="4820"/>
        <w:rPr>
          <w:sz w:val="22"/>
          <w:szCs w:val="22"/>
        </w:rPr>
      </w:pPr>
      <w:r>
        <w:rPr>
          <w:sz w:val="22"/>
          <w:szCs w:val="22"/>
        </w:rPr>
        <w:t>Ms</w:t>
      </w:r>
      <w:r w:rsidR="003B19C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Kanaki</w:t>
      </w:r>
      <w:proofErr w:type="spellEnd"/>
      <w:r>
        <w:rPr>
          <w:sz w:val="22"/>
          <w:szCs w:val="22"/>
        </w:rPr>
        <w:t>, Kalliopi</w:t>
      </w:r>
    </w:p>
    <w:p w14:paraId="4AFDE7E8" w14:textId="5F3BFF46" w:rsidR="00592BB8" w:rsidRPr="00D2027A" w:rsidRDefault="00592BB8" w:rsidP="00F572B4">
      <w:pPr>
        <w:tabs>
          <w:tab w:val="left" w:pos="567"/>
        </w:tabs>
        <w:ind w:left="4820"/>
        <w:rPr>
          <w:sz w:val="22"/>
          <w:szCs w:val="22"/>
        </w:rPr>
      </w:pPr>
      <w:r w:rsidRPr="00D2027A">
        <w:rPr>
          <w:sz w:val="22"/>
          <w:szCs w:val="22"/>
        </w:rPr>
        <w:t>Head, Nuclear Science and Instrumentation Laboratory (NSIL)</w:t>
      </w:r>
    </w:p>
    <w:p w14:paraId="09B696C3" w14:textId="77777777" w:rsidR="00592BB8" w:rsidRPr="00D2027A" w:rsidRDefault="00FA249F" w:rsidP="00F572B4">
      <w:pPr>
        <w:tabs>
          <w:tab w:val="left" w:pos="567"/>
        </w:tabs>
        <w:ind w:left="4820"/>
        <w:rPr>
          <w:sz w:val="22"/>
          <w:szCs w:val="22"/>
        </w:rPr>
      </w:pPr>
      <w:r w:rsidRPr="00D2027A">
        <w:rPr>
          <w:sz w:val="22"/>
          <w:szCs w:val="22"/>
        </w:rPr>
        <w:t>IAEA</w:t>
      </w:r>
      <w:r w:rsidR="00592BB8" w:rsidRPr="00D2027A">
        <w:rPr>
          <w:sz w:val="22"/>
          <w:szCs w:val="22"/>
        </w:rPr>
        <w:t xml:space="preserve"> Laboratories Seibersdorf</w:t>
      </w:r>
    </w:p>
    <w:p w14:paraId="3CC26466" w14:textId="77777777" w:rsidR="00592BB8" w:rsidRPr="00D2027A" w:rsidRDefault="00592BB8" w:rsidP="00F572B4">
      <w:pPr>
        <w:tabs>
          <w:tab w:val="left" w:pos="567"/>
        </w:tabs>
        <w:ind w:left="4820"/>
        <w:rPr>
          <w:sz w:val="22"/>
          <w:szCs w:val="22"/>
        </w:rPr>
      </w:pPr>
      <w:r w:rsidRPr="00D2027A">
        <w:rPr>
          <w:sz w:val="22"/>
          <w:szCs w:val="22"/>
        </w:rPr>
        <w:t>A-2444 Seibersdorf, AUSTRIA</w:t>
      </w:r>
    </w:p>
    <w:p w14:paraId="08926151" w14:textId="77777777" w:rsidR="00592BB8" w:rsidRPr="00715B09" w:rsidRDefault="00592BB8" w:rsidP="00592BB8">
      <w:pPr>
        <w:tabs>
          <w:tab w:val="left" w:pos="567"/>
        </w:tabs>
        <w:ind w:left="4820"/>
        <w:jc w:val="both"/>
        <w:rPr>
          <w:sz w:val="24"/>
          <w:szCs w:val="24"/>
        </w:rPr>
      </w:pPr>
      <w:r w:rsidRPr="00715B09">
        <w:rPr>
          <w:sz w:val="24"/>
          <w:szCs w:val="24"/>
        </w:rPr>
        <w:br w:type="page"/>
      </w:r>
    </w:p>
    <w:p w14:paraId="72AC261B" w14:textId="0C869D23" w:rsidR="00592BB8" w:rsidRPr="00D2027A" w:rsidRDefault="00592BB8" w:rsidP="00592BB8">
      <w:pPr>
        <w:tabs>
          <w:tab w:val="left" w:pos="567"/>
        </w:tabs>
        <w:jc w:val="both"/>
        <w:rPr>
          <w:b/>
          <w:sz w:val="22"/>
          <w:szCs w:val="22"/>
        </w:rPr>
      </w:pPr>
      <w:r w:rsidRPr="00D2027A">
        <w:rPr>
          <w:b/>
          <w:sz w:val="22"/>
          <w:szCs w:val="22"/>
        </w:rPr>
        <w:lastRenderedPageBreak/>
        <w:t xml:space="preserve">Instructions to participants of </w:t>
      </w:r>
      <w:r w:rsidR="006251DF" w:rsidRPr="00D2027A">
        <w:rPr>
          <w:b/>
          <w:sz w:val="22"/>
          <w:szCs w:val="22"/>
        </w:rPr>
        <w:t>PTNATIAEA/</w:t>
      </w:r>
      <w:r w:rsidR="00FB2CCC">
        <w:rPr>
          <w:b/>
          <w:sz w:val="22"/>
          <w:szCs w:val="22"/>
        </w:rPr>
        <w:t>2</w:t>
      </w:r>
      <w:r w:rsidR="00135AE6">
        <w:rPr>
          <w:b/>
          <w:sz w:val="22"/>
          <w:szCs w:val="22"/>
        </w:rPr>
        <w:t>3</w:t>
      </w:r>
    </w:p>
    <w:p w14:paraId="513ED72A" w14:textId="77777777" w:rsidR="00592BB8" w:rsidRPr="00D2027A" w:rsidRDefault="00592BB8" w:rsidP="00592BB8">
      <w:pPr>
        <w:tabs>
          <w:tab w:val="left" w:pos="567"/>
        </w:tabs>
        <w:jc w:val="both"/>
        <w:rPr>
          <w:sz w:val="22"/>
          <w:szCs w:val="22"/>
        </w:rPr>
      </w:pPr>
    </w:p>
    <w:p w14:paraId="72D13BC0" w14:textId="0785A80B" w:rsidR="007B1638" w:rsidRPr="00D2027A" w:rsidRDefault="00D327D5" w:rsidP="007B1638">
      <w:pPr>
        <w:tabs>
          <w:tab w:val="left" w:pos="567"/>
        </w:tabs>
        <w:spacing w:before="60" w:after="60"/>
        <w:jc w:val="both"/>
        <w:rPr>
          <w:b/>
          <w:sz w:val="22"/>
          <w:szCs w:val="22"/>
        </w:rPr>
      </w:pPr>
      <w:r w:rsidRPr="00D2027A">
        <w:rPr>
          <w:b/>
          <w:sz w:val="22"/>
          <w:szCs w:val="22"/>
        </w:rPr>
        <w:t xml:space="preserve">Instructions </w:t>
      </w:r>
      <w:r w:rsidR="007B1638" w:rsidRPr="00D2027A">
        <w:rPr>
          <w:b/>
          <w:sz w:val="22"/>
          <w:szCs w:val="22"/>
        </w:rPr>
        <w:t>for registration</w:t>
      </w:r>
    </w:p>
    <w:p w14:paraId="4C2557D8" w14:textId="15BE0D50" w:rsidR="007B1638" w:rsidRPr="00D2027A" w:rsidRDefault="007B1638" w:rsidP="007B1638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If you have never participated in </w:t>
      </w:r>
      <w:r w:rsidR="00A7683C">
        <w:rPr>
          <w:sz w:val="22"/>
          <w:szCs w:val="22"/>
        </w:rPr>
        <w:t>one of our</w:t>
      </w:r>
      <w:r w:rsidRPr="00D2027A">
        <w:rPr>
          <w:sz w:val="22"/>
          <w:szCs w:val="22"/>
        </w:rPr>
        <w:t xml:space="preserve"> previous </w:t>
      </w:r>
      <w:r w:rsidR="00A7683C">
        <w:rPr>
          <w:sz w:val="22"/>
          <w:szCs w:val="22"/>
        </w:rPr>
        <w:t>proficiency test</w:t>
      </w:r>
      <w:r w:rsidRPr="00D2027A">
        <w:rPr>
          <w:sz w:val="22"/>
          <w:szCs w:val="22"/>
        </w:rPr>
        <w:t xml:space="preserve">, you are kindly requested to get in contact with the PT coordinator, </w:t>
      </w:r>
      <w:r w:rsidR="00FA249F" w:rsidRPr="00D2027A">
        <w:rPr>
          <w:sz w:val="22"/>
          <w:szCs w:val="22"/>
        </w:rPr>
        <w:t>Mr</w:t>
      </w:r>
      <w:r w:rsidR="00A7683C">
        <w:rPr>
          <w:sz w:val="22"/>
          <w:szCs w:val="22"/>
        </w:rPr>
        <w:t>.</w:t>
      </w:r>
      <w:r w:rsidR="00FA249F" w:rsidRPr="00D2027A">
        <w:rPr>
          <w:sz w:val="22"/>
          <w:szCs w:val="22"/>
        </w:rPr>
        <w:t xml:space="preserve"> </w:t>
      </w:r>
      <w:r w:rsidRPr="00D2027A">
        <w:rPr>
          <w:sz w:val="22"/>
          <w:szCs w:val="22"/>
        </w:rPr>
        <w:t xml:space="preserve">Alessandro Migliori by sending an email to the address </w:t>
      </w:r>
      <w:hyperlink r:id="rId14" w:history="1">
        <w:r w:rsidR="00B66915" w:rsidRPr="00D2027A">
          <w:rPr>
            <w:rStyle w:val="Hyperlink"/>
            <w:sz w:val="22"/>
            <w:szCs w:val="22"/>
          </w:rPr>
          <w:t>A.Migliori@iaea.org</w:t>
        </w:r>
      </w:hyperlink>
      <w:r w:rsidR="005410DD" w:rsidRPr="00D2027A">
        <w:rPr>
          <w:sz w:val="22"/>
          <w:szCs w:val="22"/>
        </w:rPr>
        <w:t>.</w:t>
      </w:r>
      <w:r w:rsidRPr="00D2027A">
        <w:rPr>
          <w:sz w:val="22"/>
          <w:szCs w:val="22"/>
        </w:rPr>
        <w:t xml:space="preserve"> You will receive a reply with instructions to register</w:t>
      </w:r>
      <w:r w:rsidR="00DB57E9" w:rsidRPr="00D2027A">
        <w:rPr>
          <w:sz w:val="22"/>
          <w:szCs w:val="22"/>
        </w:rPr>
        <w:t xml:space="preserve"> and log in</w:t>
      </w:r>
      <w:r w:rsidRPr="00D2027A">
        <w:rPr>
          <w:sz w:val="22"/>
          <w:szCs w:val="22"/>
        </w:rPr>
        <w:t>to the database functionalities.</w:t>
      </w:r>
    </w:p>
    <w:p w14:paraId="096C9694" w14:textId="32A2FDF4" w:rsidR="0024104B" w:rsidRPr="00D2027A" w:rsidRDefault="00DB57E9" w:rsidP="0024104B">
      <w:pPr>
        <w:tabs>
          <w:tab w:val="left" w:pos="567"/>
        </w:tabs>
        <w:spacing w:before="60" w:after="60"/>
        <w:jc w:val="both"/>
        <w:rPr>
          <w:b/>
          <w:sz w:val="22"/>
          <w:szCs w:val="22"/>
        </w:rPr>
      </w:pPr>
      <w:r w:rsidRPr="00D2027A">
        <w:rPr>
          <w:sz w:val="22"/>
          <w:szCs w:val="22"/>
        </w:rPr>
        <w:t xml:space="preserve">If you have already participated in </w:t>
      </w:r>
      <w:r w:rsidR="00DF1788" w:rsidRPr="00D2027A">
        <w:rPr>
          <w:sz w:val="22"/>
          <w:szCs w:val="22"/>
        </w:rPr>
        <w:t>PTNATIAEA</w:t>
      </w:r>
      <w:r w:rsidRPr="00D2027A">
        <w:rPr>
          <w:sz w:val="22"/>
          <w:szCs w:val="22"/>
        </w:rPr>
        <w:t xml:space="preserve"> rounds, the information </w:t>
      </w:r>
      <w:r w:rsidR="00A7683C">
        <w:rPr>
          <w:sz w:val="22"/>
          <w:szCs w:val="22"/>
        </w:rPr>
        <w:t>about</w:t>
      </w:r>
      <w:r w:rsidRPr="00D2027A">
        <w:rPr>
          <w:sz w:val="22"/>
          <w:szCs w:val="22"/>
        </w:rPr>
        <w:t xml:space="preserve"> your laboratory and </w:t>
      </w:r>
      <w:proofErr w:type="gramStart"/>
      <w:r w:rsidRPr="00D2027A">
        <w:rPr>
          <w:sz w:val="22"/>
          <w:szCs w:val="22"/>
        </w:rPr>
        <w:t>yourself</w:t>
      </w:r>
      <w:proofErr w:type="gramEnd"/>
      <w:r w:rsidRPr="00D2027A">
        <w:rPr>
          <w:sz w:val="22"/>
          <w:szCs w:val="22"/>
        </w:rPr>
        <w:t xml:space="preserve"> </w:t>
      </w:r>
      <w:r w:rsidR="005410DD" w:rsidRPr="00D2027A">
        <w:rPr>
          <w:sz w:val="22"/>
          <w:szCs w:val="22"/>
        </w:rPr>
        <w:t>are</w:t>
      </w:r>
      <w:r w:rsidRPr="00D2027A">
        <w:rPr>
          <w:sz w:val="22"/>
          <w:szCs w:val="22"/>
        </w:rPr>
        <w:t xml:space="preserve"> already in the PT database. You can register/login to the PT database using your email address (you must define a password when registering). </w:t>
      </w:r>
      <w:r w:rsidR="0024104B" w:rsidRPr="00D2027A">
        <w:rPr>
          <w:sz w:val="22"/>
          <w:szCs w:val="22"/>
        </w:rPr>
        <w:t>T</w:t>
      </w:r>
      <w:r w:rsidRPr="00D2027A">
        <w:rPr>
          <w:sz w:val="22"/>
          <w:szCs w:val="22"/>
        </w:rPr>
        <w:t xml:space="preserve">he database and its functionalities have been created under the assumption that </w:t>
      </w:r>
      <w:r w:rsidRPr="00D2027A">
        <w:rPr>
          <w:b/>
          <w:sz w:val="22"/>
          <w:szCs w:val="22"/>
        </w:rPr>
        <w:t>only one participant per laboratory will login into the PT database for the current PT round</w:t>
      </w:r>
      <w:r w:rsidRPr="00D2027A">
        <w:rPr>
          <w:sz w:val="22"/>
          <w:szCs w:val="22"/>
        </w:rPr>
        <w:t xml:space="preserve">, so you are kindly requested to </w:t>
      </w:r>
      <w:r w:rsidR="00094B9E">
        <w:rPr>
          <w:sz w:val="22"/>
          <w:szCs w:val="22"/>
        </w:rPr>
        <w:t>choose</w:t>
      </w:r>
      <w:r w:rsidRPr="00D2027A">
        <w:rPr>
          <w:sz w:val="22"/>
          <w:szCs w:val="22"/>
        </w:rPr>
        <w:t xml:space="preserve"> whether you or some other of your colleagues will be appointed for the participation.</w:t>
      </w:r>
      <w:r w:rsidR="0024104B" w:rsidRPr="00D2027A">
        <w:rPr>
          <w:sz w:val="22"/>
          <w:szCs w:val="22"/>
        </w:rPr>
        <w:t xml:space="preserve"> In case you forgot your password, please write an email to </w:t>
      </w:r>
      <w:hyperlink r:id="rId15" w:history="1">
        <w:r w:rsidR="0024104B" w:rsidRPr="00D2027A">
          <w:rPr>
            <w:rStyle w:val="Hyperlink"/>
            <w:sz w:val="22"/>
            <w:szCs w:val="22"/>
          </w:rPr>
          <w:t>A.Migliori@iaea.org</w:t>
        </w:r>
      </w:hyperlink>
      <w:r w:rsidR="0024104B" w:rsidRPr="00D2027A">
        <w:rPr>
          <w:bCs/>
          <w:sz w:val="22"/>
          <w:szCs w:val="22"/>
        </w:rPr>
        <w:t>.</w:t>
      </w:r>
    </w:p>
    <w:p w14:paraId="56F97F93" w14:textId="2D3A4EEF" w:rsidR="007B2F7C" w:rsidRDefault="00FA249F" w:rsidP="0024104B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D2027A">
        <w:rPr>
          <w:b/>
          <w:sz w:val="22"/>
          <w:szCs w:val="22"/>
        </w:rPr>
        <w:br/>
      </w:r>
    </w:p>
    <w:p w14:paraId="30F2FD84" w14:textId="77777777" w:rsidR="00957EA8" w:rsidRPr="00D2027A" w:rsidRDefault="00957EA8" w:rsidP="0024104B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3CA011BB" w14:textId="4B188A7D" w:rsidR="00592BB8" w:rsidRPr="00D2027A" w:rsidRDefault="00592BB8" w:rsidP="007B1638">
      <w:pPr>
        <w:tabs>
          <w:tab w:val="left" w:pos="567"/>
        </w:tabs>
        <w:spacing w:before="60" w:after="60"/>
        <w:jc w:val="both"/>
        <w:rPr>
          <w:b/>
          <w:sz w:val="22"/>
          <w:szCs w:val="22"/>
        </w:rPr>
      </w:pPr>
      <w:r w:rsidRPr="00D2027A">
        <w:rPr>
          <w:b/>
          <w:sz w:val="22"/>
          <w:szCs w:val="22"/>
        </w:rPr>
        <w:t>Proficiency test sample</w:t>
      </w:r>
    </w:p>
    <w:p w14:paraId="7C5E1BDF" w14:textId="306346CF" w:rsidR="00592BB8" w:rsidRPr="005C60A1" w:rsidRDefault="00592BB8" w:rsidP="0024104B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The proficiency test </w:t>
      </w:r>
      <w:r w:rsidRPr="005C60A1">
        <w:rPr>
          <w:sz w:val="22"/>
          <w:szCs w:val="22"/>
        </w:rPr>
        <w:t>material</w:t>
      </w:r>
      <w:r w:rsidR="0024104B" w:rsidRPr="005C60A1">
        <w:rPr>
          <w:sz w:val="22"/>
          <w:szCs w:val="22"/>
        </w:rPr>
        <w:t>s</w:t>
      </w:r>
      <w:r w:rsidRPr="005C60A1">
        <w:rPr>
          <w:sz w:val="22"/>
          <w:szCs w:val="22"/>
        </w:rPr>
        <w:t xml:space="preserve"> </w:t>
      </w:r>
      <w:r w:rsidR="0024104B" w:rsidRPr="005C60A1">
        <w:rPr>
          <w:sz w:val="22"/>
          <w:szCs w:val="22"/>
        </w:rPr>
        <w:t xml:space="preserve">are a </w:t>
      </w:r>
      <w:r w:rsidR="008C6E62">
        <w:rPr>
          <w:b/>
          <w:bCs/>
          <w:sz w:val="22"/>
          <w:szCs w:val="22"/>
        </w:rPr>
        <w:t>soil</w:t>
      </w:r>
      <w:r w:rsidR="0024104B" w:rsidRPr="00A12424">
        <w:rPr>
          <w:b/>
          <w:bCs/>
          <w:sz w:val="22"/>
          <w:szCs w:val="22"/>
        </w:rPr>
        <w:t xml:space="preserve"> sample</w:t>
      </w:r>
      <w:r w:rsidR="0024104B" w:rsidRPr="00D2027A">
        <w:rPr>
          <w:sz w:val="22"/>
          <w:szCs w:val="22"/>
        </w:rPr>
        <w:t xml:space="preserve"> and a </w:t>
      </w:r>
      <w:r w:rsidR="0024104B" w:rsidRPr="00A12424">
        <w:rPr>
          <w:b/>
          <w:bCs/>
          <w:sz w:val="22"/>
          <w:szCs w:val="22"/>
        </w:rPr>
        <w:t>plant sample</w:t>
      </w:r>
      <w:r w:rsidR="0024104B" w:rsidRPr="00D2027A">
        <w:rPr>
          <w:sz w:val="22"/>
          <w:szCs w:val="22"/>
        </w:rPr>
        <w:t xml:space="preserve"> with</w:t>
      </w:r>
      <w:r w:rsidRPr="00D2027A">
        <w:rPr>
          <w:sz w:val="22"/>
          <w:szCs w:val="22"/>
        </w:rPr>
        <w:t xml:space="preserve"> well-established homogeneity and composition. The reference values supplied by the provider of the material have been established by independent inter-laboratory </w:t>
      </w:r>
      <w:r w:rsidR="0024104B" w:rsidRPr="00D2027A">
        <w:rPr>
          <w:sz w:val="22"/>
          <w:szCs w:val="22"/>
        </w:rPr>
        <w:t>surveys and</w:t>
      </w:r>
      <w:r w:rsidRPr="00D2027A">
        <w:rPr>
          <w:sz w:val="22"/>
          <w:szCs w:val="22"/>
        </w:rPr>
        <w:t xml:space="preserve"> are used as the assigned values </w:t>
      </w:r>
      <w:proofErr w:type="spellStart"/>
      <w:r w:rsidR="0024104B" w:rsidRPr="00D2027A">
        <w:rPr>
          <w:i/>
          <w:iCs/>
          <w:sz w:val="22"/>
          <w:szCs w:val="22"/>
        </w:rPr>
        <w:t>x</w:t>
      </w:r>
      <w:r w:rsidR="0024104B" w:rsidRPr="00FB2CCC">
        <w:rPr>
          <w:i/>
          <w:iCs/>
          <w:sz w:val="22"/>
          <w:szCs w:val="22"/>
          <w:vertAlign w:val="subscript"/>
        </w:rPr>
        <w:t>pt</w:t>
      </w:r>
      <w:proofErr w:type="spellEnd"/>
      <w:r w:rsidRPr="00D2027A">
        <w:rPr>
          <w:sz w:val="22"/>
          <w:szCs w:val="22"/>
        </w:rPr>
        <w:t xml:space="preserve"> of the analytes.</w:t>
      </w:r>
      <w:r w:rsidR="0024104B" w:rsidRPr="00D2027A">
        <w:rPr>
          <w:sz w:val="22"/>
          <w:szCs w:val="22"/>
        </w:rPr>
        <w:t xml:space="preserve"> When not available, the</w:t>
      </w:r>
      <w:r w:rsidR="005622F4" w:rsidRPr="00D2027A">
        <w:rPr>
          <w:sz w:val="22"/>
          <w:szCs w:val="22"/>
        </w:rPr>
        <w:t xml:space="preserve"> assigned values for the proficiency assessment</w:t>
      </w:r>
      <w:r w:rsidR="0024104B" w:rsidRPr="00D2027A">
        <w:rPr>
          <w:sz w:val="22"/>
          <w:szCs w:val="22"/>
        </w:rPr>
        <w:t xml:space="preserve"> can be determined as consensus values of the results of the participants in the test, through the </w:t>
      </w:r>
      <w:r w:rsidR="0024104B" w:rsidRPr="005C60A1">
        <w:rPr>
          <w:sz w:val="22"/>
          <w:szCs w:val="22"/>
        </w:rPr>
        <w:t>application of robust statistic methods.</w:t>
      </w:r>
    </w:p>
    <w:p w14:paraId="2ED38DBA" w14:textId="38D93AC8" w:rsidR="00D96473" w:rsidRPr="00D96473" w:rsidRDefault="00D96473" w:rsidP="0024104B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  <w:u w:val="single"/>
        </w:rPr>
      </w:pPr>
    </w:p>
    <w:p w14:paraId="4160254F" w14:textId="63E0093B" w:rsidR="00592BB8" w:rsidRPr="00D2027A" w:rsidRDefault="00592BB8" w:rsidP="00592BB8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For each analyte </w:t>
      </w:r>
      <w:r w:rsidR="0024104B" w:rsidRPr="00D2027A">
        <w:rPr>
          <w:sz w:val="22"/>
          <w:szCs w:val="22"/>
        </w:rPr>
        <w:t xml:space="preserve">the standard deviation for proficiency assessment </w:t>
      </w:r>
      <w:proofErr w:type="spellStart"/>
      <w:r w:rsidR="0024104B" w:rsidRPr="00D2027A">
        <w:rPr>
          <w:i/>
          <w:iCs/>
          <w:sz w:val="22"/>
          <w:szCs w:val="22"/>
        </w:rPr>
        <w:t>σ</w:t>
      </w:r>
      <w:r w:rsidR="0024104B" w:rsidRPr="00D2027A">
        <w:rPr>
          <w:i/>
          <w:iCs/>
          <w:sz w:val="22"/>
          <w:szCs w:val="22"/>
          <w:vertAlign w:val="subscript"/>
        </w:rPr>
        <w:t>pt</w:t>
      </w:r>
      <w:proofErr w:type="spellEnd"/>
      <w:r w:rsidR="0024104B" w:rsidRPr="00D2027A">
        <w:rPr>
          <w:sz w:val="22"/>
          <w:szCs w:val="22"/>
        </w:rPr>
        <w:t xml:space="preserve"> </w:t>
      </w:r>
      <w:r w:rsidR="00DF4F22" w:rsidRPr="00D2027A">
        <w:rPr>
          <w:sz w:val="22"/>
          <w:szCs w:val="22"/>
        </w:rPr>
        <w:t>is</w:t>
      </w:r>
      <w:r w:rsidRPr="00D2027A">
        <w:rPr>
          <w:sz w:val="22"/>
          <w:szCs w:val="22"/>
        </w:rPr>
        <w:t xml:space="preserve"> </w:t>
      </w:r>
      <w:r w:rsidR="0024104B" w:rsidRPr="00D2027A">
        <w:rPr>
          <w:sz w:val="22"/>
          <w:szCs w:val="22"/>
        </w:rPr>
        <w:t>determined</w:t>
      </w:r>
      <w:r w:rsidRPr="00D2027A">
        <w:rPr>
          <w:sz w:val="22"/>
          <w:szCs w:val="22"/>
        </w:rPr>
        <w:t xml:space="preserve"> using a modified Horowitz function </w:t>
      </w:r>
      <w:proofErr w:type="spellStart"/>
      <w:r w:rsidR="0024104B" w:rsidRPr="00D2027A">
        <w:rPr>
          <w:i/>
          <w:iCs/>
          <w:sz w:val="22"/>
          <w:szCs w:val="22"/>
        </w:rPr>
        <w:t>σ</w:t>
      </w:r>
      <w:r w:rsidR="0024104B" w:rsidRPr="00D2027A">
        <w:rPr>
          <w:i/>
          <w:iCs/>
          <w:sz w:val="22"/>
          <w:szCs w:val="22"/>
          <w:vertAlign w:val="subscript"/>
        </w:rPr>
        <w:t>R</w:t>
      </w:r>
      <w:proofErr w:type="spellEnd"/>
      <w:r w:rsidR="0024104B" w:rsidRPr="00D2027A">
        <w:rPr>
          <w:rStyle w:val="FootnoteReference"/>
          <w:sz w:val="22"/>
          <w:szCs w:val="22"/>
        </w:rPr>
        <w:footnoteReference w:id="1"/>
      </w:r>
      <w:r w:rsidRPr="00D2027A">
        <w:rPr>
          <w:sz w:val="22"/>
          <w:szCs w:val="22"/>
        </w:rPr>
        <w:t>:</w:t>
      </w:r>
    </w:p>
    <w:p w14:paraId="208425BD" w14:textId="77777777" w:rsidR="00592BB8" w:rsidRPr="00D2027A" w:rsidRDefault="00592BB8" w:rsidP="00592BB8">
      <w:pPr>
        <w:spacing w:before="60" w:after="60"/>
        <w:ind w:firstLine="720"/>
        <w:rPr>
          <w:sz w:val="22"/>
          <w:szCs w:val="22"/>
        </w:rPr>
      </w:pPr>
    </w:p>
    <w:p w14:paraId="08A87591" w14:textId="4054DE41" w:rsidR="00592BB8" w:rsidRPr="003A25C9" w:rsidRDefault="00592BB8" w:rsidP="002A6E6A">
      <w:pPr>
        <w:tabs>
          <w:tab w:val="center" w:pos="4536"/>
          <w:tab w:val="right" w:pos="9072"/>
        </w:tabs>
        <w:spacing w:before="60" w:after="60"/>
        <w:jc w:val="right"/>
        <w:rPr>
          <w:sz w:val="22"/>
          <w:szCs w:val="22"/>
        </w:rPr>
      </w:pPr>
      <w:r w:rsidRPr="00715B09">
        <w:rPr>
          <w:sz w:val="24"/>
          <w:szCs w:val="24"/>
        </w:rPr>
        <w:tab/>
      </w:r>
      <m:oMath>
        <m:sSub>
          <m:sSubPr>
            <m:ctrlPr>
              <w:rPr>
                <w:rFonts w:ascii="Cambria Math" w:eastAsia="Calibri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pt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R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bCs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bCs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0.22</m:t>
                </m:r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pt</m:t>
                    </m:r>
                  </m:sub>
                </m:s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 xml:space="preserve">                  when    </m:t>
                </m:r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pt</m:t>
                    </m:r>
                  </m:sub>
                </m:s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&lt;1.2⋅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-7</m:t>
                    </m:r>
                  </m:sup>
                </m:s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 xml:space="preserve">                  </m:t>
                </m:r>
              </m:e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0.02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</w:rPr>
                          <m:t>(x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</w:rPr>
                          <m:t>pt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0.8495</m:t>
                    </m:r>
                  </m:sup>
                </m:s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 xml:space="preserve">    when    1.2⋅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-7</m:t>
                    </m:r>
                  </m:sup>
                </m:s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pt</m:t>
                    </m:r>
                  </m:sub>
                </m:s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 xml:space="preserve">≤0.138  </m:t>
                </m:r>
              </m:e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0.01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</w:rPr>
                          <m:t>pt</m:t>
                        </m:r>
                      </m:sub>
                    </m:sSub>
                  </m:e>
                </m:rad>
                <m:r>
                  <w:rPr>
                    <w:rFonts w:ascii="Cambria Math" w:eastAsia="Calibri" w:hAnsi="Cambria Math"/>
                    <w:sz w:val="22"/>
                    <w:szCs w:val="22"/>
                  </w:rPr>
                  <m:t xml:space="preserve">               when    </m:t>
                </m:r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pt</m:t>
                    </m:r>
                  </m:sub>
                </m:s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 xml:space="preserve">&gt;0.138                          </m:t>
                </m:r>
              </m:e>
            </m:eqArr>
          </m:e>
        </m:d>
      </m:oMath>
      <w:r w:rsidRPr="003A25C9">
        <w:rPr>
          <w:sz w:val="22"/>
          <w:szCs w:val="22"/>
        </w:rPr>
        <w:tab/>
      </w:r>
    </w:p>
    <w:p w14:paraId="41B2EE1A" w14:textId="77777777" w:rsidR="00592BB8" w:rsidRPr="00D2027A" w:rsidRDefault="00592BB8" w:rsidP="00592BB8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41D682C8" w14:textId="74F490DC" w:rsidR="00DC636E" w:rsidRDefault="00DC636E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656634F1" w14:textId="77777777" w:rsidR="00957EA8" w:rsidRPr="00D2027A" w:rsidRDefault="00957EA8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5D641410" w14:textId="4DDBDA35" w:rsidR="00DC636E" w:rsidRPr="00D2027A" w:rsidRDefault="00DC636E" w:rsidP="00DC636E">
      <w:pPr>
        <w:tabs>
          <w:tab w:val="left" w:pos="567"/>
        </w:tabs>
        <w:spacing w:before="60" w:after="60"/>
        <w:jc w:val="both"/>
        <w:rPr>
          <w:b/>
          <w:sz w:val="22"/>
          <w:szCs w:val="22"/>
        </w:rPr>
      </w:pPr>
      <w:r w:rsidRPr="00D2027A">
        <w:rPr>
          <w:b/>
          <w:sz w:val="22"/>
          <w:szCs w:val="22"/>
        </w:rPr>
        <w:t xml:space="preserve">Instructions for the </w:t>
      </w:r>
      <w:r w:rsidR="00DE71F4" w:rsidRPr="00D2027A">
        <w:rPr>
          <w:b/>
          <w:sz w:val="22"/>
          <w:szCs w:val="22"/>
        </w:rPr>
        <w:t>a</w:t>
      </w:r>
      <w:r w:rsidRPr="00D2027A">
        <w:rPr>
          <w:b/>
          <w:sz w:val="22"/>
          <w:szCs w:val="22"/>
        </w:rPr>
        <w:t>nalysis</w:t>
      </w:r>
      <w:r w:rsidR="00AA2820" w:rsidRPr="00D2027A">
        <w:rPr>
          <w:b/>
          <w:sz w:val="22"/>
          <w:szCs w:val="22"/>
        </w:rPr>
        <w:t xml:space="preserve"> and data uploading</w:t>
      </w:r>
    </w:p>
    <w:p w14:paraId="5624E68B" w14:textId="00B0ED7E" w:rsidR="00DC636E" w:rsidRPr="005C60A1" w:rsidRDefault="00DC636E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bookmarkStart w:id="1" w:name="_Hlk72330433"/>
      <w:r w:rsidRPr="00D2027A">
        <w:rPr>
          <w:sz w:val="22"/>
          <w:szCs w:val="22"/>
        </w:rPr>
        <w:t xml:space="preserve">The </w:t>
      </w:r>
      <w:r w:rsidR="005622F4" w:rsidRPr="005C60A1">
        <w:rPr>
          <w:sz w:val="22"/>
          <w:szCs w:val="22"/>
        </w:rPr>
        <w:t xml:space="preserve">moisture </w:t>
      </w:r>
      <w:r w:rsidRPr="005C60A1">
        <w:rPr>
          <w:sz w:val="22"/>
          <w:szCs w:val="22"/>
        </w:rPr>
        <w:t>content in the sample</w:t>
      </w:r>
      <w:r w:rsidR="00094B9E">
        <w:rPr>
          <w:sz w:val="22"/>
          <w:szCs w:val="22"/>
        </w:rPr>
        <w:t>s</w:t>
      </w:r>
      <w:r w:rsidRPr="005C60A1">
        <w:rPr>
          <w:sz w:val="22"/>
          <w:szCs w:val="22"/>
        </w:rPr>
        <w:t xml:space="preserve"> may vary with a change in ambient humidity. Laboratories are therefore requested to determine the moisture</w:t>
      </w:r>
      <w:r w:rsidR="005622F4" w:rsidRPr="005C60A1">
        <w:rPr>
          <w:sz w:val="22"/>
          <w:szCs w:val="22"/>
        </w:rPr>
        <w:t xml:space="preserve"> content</w:t>
      </w:r>
      <w:r w:rsidRPr="005C60A1">
        <w:rPr>
          <w:sz w:val="22"/>
          <w:szCs w:val="22"/>
        </w:rPr>
        <w:t xml:space="preserve"> </w:t>
      </w:r>
      <w:r w:rsidR="00B1264A" w:rsidRPr="005C60A1">
        <w:rPr>
          <w:sz w:val="22"/>
          <w:szCs w:val="22"/>
        </w:rPr>
        <w:t xml:space="preserve">according to their routine procedure </w:t>
      </w:r>
      <w:r w:rsidRPr="005C60A1">
        <w:rPr>
          <w:sz w:val="22"/>
          <w:szCs w:val="22"/>
        </w:rPr>
        <w:t>and to report all results on a dry-weight basis.</w:t>
      </w:r>
      <w:bookmarkEnd w:id="1"/>
    </w:p>
    <w:p w14:paraId="60AD568F" w14:textId="337E89D2" w:rsidR="00DC636E" w:rsidRPr="005C60A1" w:rsidRDefault="003855A0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5C60A1">
        <w:rPr>
          <w:sz w:val="22"/>
          <w:szCs w:val="22"/>
        </w:rPr>
        <w:t>Following the indications of the provider of the material, t</w:t>
      </w:r>
      <w:r w:rsidR="00DC636E" w:rsidRPr="005C60A1">
        <w:rPr>
          <w:sz w:val="22"/>
          <w:szCs w:val="22"/>
        </w:rPr>
        <w:t xml:space="preserve">he mass of the portions taken for the analysis (test portions or aliquots) </w:t>
      </w:r>
      <w:r w:rsidR="00DC636E" w:rsidRPr="00CA7C49">
        <w:rPr>
          <w:sz w:val="22"/>
          <w:szCs w:val="22"/>
        </w:rPr>
        <w:t xml:space="preserve">should be </w:t>
      </w:r>
      <w:r w:rsidR="0040584A" w:rsidRPr="00CA7C49">
        <w:rPr>
          <w:sz w:val="22"/>
          <w:szCs w:val="22"/>
        </w:rPr>
        <w:t>at least</w:t>
      </w:r>
      <w:r w:rsidR="008B1ACA" w:rsidRPr="00CA7C49">
        <w:rPr>
          <w:sz w:val="22"/>
          <w:szCs w:val="22"/>
        </w:rPr>
        <w:t xml:space="preserve"> </w:t>
      </w:r>
      <w:r w:rsidR="00D679CC">
        <w:rPr>
          <w:sz w:val="22"/>
          <w:szCs w:val="22"/>
        </w:rPr>
        <w:t xml:space="preserve">100 mg for the soil sample and </w:t>
      </w:r>
      <w:r w:rsidR="00167A77" w:rsidRPr="00CA7C49">
        <w:rPr>
          <w:sz w:val="22"/>
          <w:szCs w:val="22"/>
        </w:rPr>
        <w:t>250</w:t>
      </w:r>
      <w:r w:rsidR="00DC636E" w:rsidRPr="00CA7C49">
        <w:rPr>
          <w:sz w:val="22"/>
          <w:szCs w:val="22"/>
        </w:rPr>
        <w:t xml:space="preserve"> mg</w:t>
      </w:r>
      <w:r w:rsidR="007521C7" w:rsidRPr="00CA7C49">
        <w:rPr>
          <w:sz w:val="22"/>
          <w:szCs w:val="22"/>
        </w:rPr>
        <w:t xml:space="preserve"> for </w:t>
      </w:r>
      <w:r w:rsidR="00D679CC">
        <w:rPr>
          <w:sz w:val="22"/>
          <w:szCs w:val="22"/>
        </w:rPr>
        <w:t xml:space="preserve">the plant </w:t>
      </w:r>
      <w:r w:rsidR="009D6185" w:rsidRPr="00CA7C49">
        <w:rPr>
          <w:sz w:val="22"/>
          <w:szCs w:val="22"/>
        </w:rPr>
        <w:t>sample</w:t>
      </w:r>
      <w:r w:rsidR="009D6185" w:rsidRPr="005C60A1">
        <w:rPr>
          <w:sz w:val="22"/>
          <w:szCs w:val="22"/>
        </w:rPr>
        <w:t xml:space="preserve">. In case a lower amount of sample will be used for the analysis, we recommend </w:t>
      </w:r>
      <w:r w:rsidR="009346F0" w:rsidRPr="005C60A1">
        <w:rPr>
          <w:sz w:val="22"/>
          <w:szCs w:val="22"/>
        </w:rPr>
        <w:t>carrying</w:t>
      </w:r>
      <w:r w:rsidR="00477B2D" w:rsidRPr="005C60A1">
        <w:rPr>
          <w:sz w:val="22"/>
          <w:szCs w:val="22"/>
        </w:rPr>
        <w:t xml:space="preserve"> out </w:t>
      </w:r>
      <w:r w:rsidR="000D4087" w:rsidRPr="005C60A1">
        <w:rPr>
          <w:sz w:val="22"/>
          <w:szCs w:val="22"/>
        </w:rPr>
        <w:t>an additional homogenization</w:t>
      </w:r>
      <w:r w:rsidR="005C60A1" w:rsidRPr="005C60A1">
        <w:rPr>
          <w:sz w:val="22"/>
          <w:szCs w:val="22"/>
        </w:rPr>
        <w:t xml:space="preserve"> of the material following your routine </w:t>
      </w:r>
      <w:r w:rsidR="005C60A1" w:rsidRPr="00735DE8">
        <w:rPr>
          <w:sz w:val="22"/>
          <w:szCs w:val="22"/>
        </w:rPr>
        <w:t>procedure.</w:t>
      </w:r>
      <w:r w:rsidR="00BF5451" w:rsidRPr="00735DE8">
        <w:rPr>
          <w:sz w:val="22"/>
          <w:szCs w:val="22"/>
        </w:rPr>
        <w:t xml:space="preserve"> </w:t>
      </w:r>
      <w:r w:rsidR="00E059CE" w:rsidRPr="00735DE8">
        <w:rPr>
          <w:sz w:val="22"/>
          <w:szCs w:val="22"/>
        </w:rPr>
        <w:t xml:space="preserve">For the </w:t>
      </w:r>
      <w:r w:rsidR="008C6E62" w:rsidRPr="00735DE8">
        <w:rPr>
          <w:sz w:val="22"/>
          <w:szCs w:val="22"/>
        </w:rPr>
        <w:t>soil</w:t>
      </w:r>
      <w:r w:rsidR="00E059CE" w:rsidRPr="00735DE8">
        <w:rPr>
          <w:sz w:val="22"/>
          <w:szCs w:val="22"/>
        </w:rPr>
        <w:t xml:space="preserve"> sample, </w:t>
      </w:r>
      <w:r w:rsidR="002946FE" w:rsidRPr="00735DE8">
        <w:rPr>
          <w:sz w:val="22"/>
          <w:szCs w:val="22"/>
        </w:rPr>
        <w:t>since</w:t>
      </w:r>
      <w:r w:rsidR="00BF5451" w:rsidRPr="00735DE8">
        <w:rPr>
          <w:sz w:val="22"/>
          <w:szCs w:val="22"/>
        </w:rPr>
        <w:t xml:space="preserve"> </w:t>
      </w:r>
      <w:r w:rsidR="00605847" w:rsidRPr="00735DE8">
        <w:rPr>
          <w:sz w:val="22"/>
          <w:szCs w:val="22"/>
        </w:rPr>
        <w:t>grain</w:t>
      </w:r>
      <w:r w:rsidR="00BF5451" w:rsidRPr="00735DE8">
        <w:rPr>
          <w:sz w:val="22"/>
          <w:szCs w:val="22"/>
        </w:rPr>
        <w:t xml:space="preserve">s have the tendency to separate, </w:t>
      </w:r>
      <w:r w:rsidR="002946FE" w:rsidRPr="00735DE8">
        <w:rPr>
          <w:sz w:val="22"/>
          <w:szCs w:val="22"/>
        </w:rPr>
        <w:t xml:space="preserve">even if the </w:t>
      </w:r>
      <w:r w:rsidR="0091236B" w:rsidRPr="00735DE8">
        <w:rPr>
          <w:sz w:val="22"/>
          <w:szCs w:val="22"/>
        </w:rPr>
        <w:t xml:space="preserve">test </w:t>
      </w:r>
      <w:r w:rsidR="005E596F" w:rsidRPr="00735DE8">
        <w:rPr>
          <w:sz w:val="22"/>
          <w:szCs w:val="22"/>
        </w:rPr>
        <w:t>portion</w:t>
      </w:r>
      <w:r w:rsidR="002946FE" w:rsidRPr="00735DE8">
        <w:rPr>
          <w:sz w:val="22"/>
          <w:szCs w:val="22"/>
        </w:rPr>
        <w:t xml:space="preserve"> is </w:t>
      </w:r>
      <w:r w:rsidR="00101614" w:rsidRPr="00735DE8">
        <w:rPr>
          <w:sz w:val="22"/>
          <w:szCs w:val="22"/>
        </w:rPr>
        <w:t xml:space="preserve">more than </w:t>
      </w:r>
      <w:r w:rsidR="00735DE8" w:rsidRPr="00735DE8">
        <w:rPr>
          <w:sz w:val="22"/>
          <w:szCs w:val="22"/>
        </w:rPr>
        <w:t>100</w:t>
      </w:r>
      <w:r w:rsidR="00101614" w:rsidRPr="00735DE8">
        <w:rPr>
          <w:sz w:val="22"/>
          <w:szCs w:val="22"/>
        </w:rPr>
        <w:t xml:space="preserve"> mg, please </w:t>
      </w:r>
      <w:r w:rsidR="00A45B9E" w:rsidRPr="00735DE8">
        <w:rPr>
          <w:sz w:val="22"/>
          <w:szCs w:val="22"/>
        </w:rPr>
        <w:t>mix the sample</w:t>
      </w:r>
      <w:r w:rsidR="00A45B9E">
        <w:rPr>
          <w:sz w:val="22"/>
          <w:szCs w:val="22"/>
        </w:rPr>
        <w:t xml:space="preserve"> before ta</w:t>
      </w:r>
      <w:r w:rsidR="00BF5451" w:rsidRPr="00BF5451">
        <w:rPr>
          <w:sz w:val="22"/>
          <w:szCs w:val="22"/>
        </w:rPr>
        <w:t xml:space="preserve">king </w:t>
      </w:r>
      <w:r w:rsidR="00A45B9E">
        <w:rPr>
          <w:sz w:val="22"/>
          <w:szCs w:val="22"/>
        </w:rPr>
        <w:t>the</w:t>
      </w:r>
      <w:r w:rsidR="00BF5451" w:rsidRPr="00BF5451">
        <w:rPr>
          <w:sz w:val="22"/>
          <w:szCs w:val="22"/>
        </w:rPr>
        <w:t xml:space="preserve"> subsample</w:t>
      </w:r>
      <w:r w:rsidR="00A45B9E">
        <w:rPr>
          <w:sz w:val="22"/>
          <w:szCs w:val="22"/>
        </w:rPr>
        <w:t>.</w:t>
      </w:r>
    </w:p>
    <w:p w14:paraId="74DE93A6" w14:textId="77777777" w:rsidR="00DC636E" w:rsidRPr="00D2027A" w:rsidRDefault="00DC636E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5C60A1">
        <w:rPr>
          <w:sz w:val="22"/>
          <w:szCs w:val="22"/>
        </w:rPr>
        <w:t>Conduct the analysis according to your routine procedures. Bear in mind that this proficiency test is designed to evaluate the routine</w:t>
      </w:r>
      <w:r w:rsidRPr="00D2027A">
        <w:rPr>
          <w:sz w:val="22"/>
          <w:szCs w:val="22"/>
        </w:rPr>
        <w:t xml:space="preserve"> analysis procedure and not how well a laboratory could perform taking special precautions. This exercise is not intended for evaluating new procedures.</w:t>
      </w:r>
    </w:p>
    <w:p w14:paraId="19D33022" w14:textId="4ECE4143" w:rsidR="00DC636E" w:rsidRPr="00D2027A" w:rsidRDefault="00DC636E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AD1ACD">
        <w:rPr>
          <w:bCs/>
          <w:sz w:val="22"/>
          <w:szCs w:val="22"/>
          <w:u w:val="single"/>
        </w:rPr>
        <w:lastRenderedPageBreak/>
        <w:t>Provide one result only per element</w:t>
      </w:r>
      <w:r w:rsidRPr="00D2027A">
        <w:rPr>
          <w:sz w:val="22"/>
          <w:szCs w:val="22"/>
        </w:rPr>
        <w:t xml:space="preserve"> determined by using routine procedures. If your routine procedure involves reporting the average of two or more determinations, report the average. Please report </w:t>
      </w:r>
      <w:r w:rsidR="00842344" w:rsidRPr="00D2027A">
        <w:rPr>
          <w:sz w:val="22"/>
          <w:szCs w:val="22"/>
        </w:rPr>
        <w:t xml:space="preserve">the combined standard uncertainty estimate </w:t>
      </w:r>
      <w:r w:rsidRPr="00D2027A">
        <w:rPr>
          <w:sz w:val="22"/>
          <w:szCs w:val="22"/>
        </w:rPr>
        <w:t xml:space="preserve">as uncertainty on the </w:t>
      </w:r>
      <w:r w:rsidR="002A6E6A" w:rsidRPr="00D2027A">
        <w:rPr>
          <w:sz w:val="22"/>
          <w:szCs w:val="22"/>
        </w:rPr>
        <w:t xml:space="preserve">determined </w:t>
      </w:r>
      <w:r w:rsidR="00401B67" w:rsidRPr="00D2027A">
        <w:rPr>
          <w:sz w:val="22"/>
          <w:szCs w:val="22"/>
        </w:rPr>
        <w:t>concentrations</w:t>
      </w:r>
      <w:r w:rsidRPr="00D2027A">
        <w:rPr>
          <w:sz w:val="22"/>
          <w:szCs w:val="22"/>
        </w:rPr>
        <w:t>.</w:t>
      </w:r>
      <w:r w:rsidR="00AA2820" w:rsidRPr="00D2027A">
        <w:rPr>
          <w:sz w:val="22"/>
          <w:szCs w:val="22"/>
        </w:rPr>
        <w:t xml:space="preserve"> </w:t>
      </w:r>
      <w:r w:rsidR="00AA2820" w:rsidRPr="00AD1ACD">
        <w:rPr>
          <w:bCs/>
          <w:sz w:val="22"/>
          <w:szCs w:val="22"/>
          <w:u w:val="single"/>
        </w:rPr>
        <w:t>Please pay attention to the unit for each element when uploading your results</w:t>
      </w:r>
      <w:r w:rsidR="00AA2820" w:rsidRPr="00D2027A">
        <w:rPr>
          <w:sz w:val="22"/>
          <w:szCs w:val="22"/>
        </w:rPr>
        <w:t>; bear in mind that units can be different for different elements.</w:t>
      </w:r>
    </w:p>
    <w:p w14:paraId="55EA4052" w14:textId="4075FE48" w:rsidR="00DC636E" w:rsidRDefault="00DC636E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09A8D684" w14:textId="1D09E67B" w:rsidR="00957EA8" w:rsidRDefault="00957EA8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1FDBC9DD" w14:textId="77777777" w:rsidR="00957EA8" w:rsidRPr="00D2027A" w:rsidRDefault="00957EA8" w:rsidP="00DC636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16B27DEE" w14:textId="3DD46D3C" w:rsidR="00592BB8" w:rsidRPr="00D2027A" w:rsidRDefault="00592BB8" w:rsidP="00592BB8">
      <w:pPr>
        <w:tabs>
          <w:tab w:val="left" w:pos="567"/>
        </w:tabs>
        <w:spacing w:before="60" w:after="60"/>
        <w:jc w:val="both"/>
        <w:rPr>
          <w:b/>
          <w:sz w:val="22"/>
          <w:szCs w:val="22"/>
        </w:rPr>
      </w:pPr>
      <w:r w:rsidRPr="00D2027A">
        <w:rPr>
          <w:b/>
          <w:sz w:val="22"/>
          <w:szCs w:val="22"/>
        </w:rPr>
        <w:t>Interpretation of the results</w:t>
      </w:r>
    </w:p>
    <w:p w14:paraId="081CD2E9" w14:textId="31501B69" w:rsidR="00592BB8" w:rsidRPr="00D2027A" w:rsidRDefault="00592BB8" w:rsidP="00592BB8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The </w:t>
      </w:r>
      <w:r w:rsidR="002A6E6A" w:rsidRPr="00D2027A">
        <w:rPr>
          <w:sz w:val="22"/>
          <w:szCs w:val="22"/>
        </w:rPr>
        <w:t>PTNATIAEA</w:t>
      </w:r>
      <w:r w:rsidRPr="00D2027A">
        <w:rPr>
          <w:sz w:val="22"/>
          <w:szCs w:val="22"/>
        </w:rPr>
        <w:t xml:space="preserve"> uses the following statistical analysis</w:t>
      </w:r>
      <w:r w:rsidR="002A6E6A" w:rsidRPr="00D2027A">
        <w:rPr>
          <w:rStyle w:val="FootnoteReference"/>
          <w:sz w:val="22"/>
          <w:szCs w:val="22"/>
        </w:rPr>
        <w:footnoteReference w:id="2"/>
      </w:r>
      <w:r w:rsidRPr="00D2027A">
        <w:rPr>
          <w:sz w:val="22"/>
          <w:szCs w:val="22"/>
        </w:rPr>
        <w:t>:</w:t>
      </w:r>
    </w:p>
    <w:p w14:paraId="54D3ECEA" w14:textId="6183F525" w:rsidR="00592BB8" w:rsidRPr="00D2027A" w:rsidRDefault="00592BB8" w:rsidP="00592BB8">
      <w:pPr>
        <w:pStyle w:val="Header"/>
        <w:tabs>
          <w:tab w:val="left" w:pos="720"/>
        </w:tabs>
        <w:spacing w:before="60" w:after="60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The reported result </w:t>
      </w:r>
      <w:r w:rsidRPr="00D2027A">
        <w:rPr>
          <w:i/>
          <w:sz w:val="22"/>
          <w:szCs w:val="22"/>
        </w:rPr>
        <w:t>x</w:t>
      </w:r>
      <w:r w:rsidR="002A6E6A" w:rsidRPr="00D2027A">
        <w:rPr>
          <w:i/>
          <w:sz w:val="22"/>
          <w:szCs w:val="22"/>
          <w:vertAlign w:val="subscript"/>
        </w:rPr>
        <w:t>i</w:t>
      </w:r>
      <w:r w:rsidRPr="00D2027A">
        <w:rPr>
          <w:sz w:val="22"/>
          <w:szCs w:val="22"/>
        </w:rPr>
        <w:t xml:space="preserve"> </w:t>
      </w:r>
      <w:r w:rsidRPr="00D2027A">
        <w:rPr>
          <w:b/>
          <w:sz w:val="22"/>
          <w:szCs w:val="22"/>
        </w:rPr>
        <w:t>for each element</w:t>
      </w:r>
      <w:r w:rsidRPr="00D2027A">
        <w:rPr>
          <w:sz w:val="22"/>
          <w:szCs w:val="22"/>
        </w:rPr>
        <w:t xml:space="preserve"> is compared with the assigned values by using the </w:t>
      </w:r>
      <w:r w:rsidRPr="00D2027A">
        <w:rPr>
          <w:i/>
          <w:iCs/>
          <w:sz w:val="22"/>
          <w:szCs w:val="22"/>
        </w:rPr>
        <w:t>z</w:t>
      </w:r>
      <w:r w:rsidRPr="00D2027A">
        <w:rPr>
          <w:sz w:val="22"/>
          <w:szCs w:val="22"/>
        </w:rPr>
        <w:t>-</w:t>
      </w:r>
      <w:r w:rsidR="002A6E6A" w:rsidRPr="00D2027A">
        <w:rPr>
          <w:sz w:val="22"/>
          <w:szCs w:val="22"/>
        </w:rPr>
        <w:t xml:space="preserve"> or </w:t>
      </w:r>
      <w:r w:rsidR="002A6E6A" w:rsidRPr="00D2027A">
        <w:rPr>
          <w:i/>
          <w:iCs/>
          <w:sz w:val="22"/>
          <w:szCs w:val="22"/>
        </w:rPr>
        <w:t>z’-</w:t>
      </w:r>
      <w:r w:rsidRPr="00D2027A">
        <w:rPr>
          <w:sz w:val="22"/>
          <w:szCs w:val="22"/>
        </w:rPr>
        <w:t>score analysis</w:t>
      </w:r>
      <w:r w:rsidR="002A6E6A" w:rsidRPr="00D2027A">
        <w:rPr>
          <w:sz w:val="22"/>
          <w:szCs w:val="22"/>
        </w:rPr>
        <w:t xml:space="preserve">, depending on whether the uncertainty of the assigned value </w:t>
      </w:r>
      <w:r w:rsidR="002A6E6A" w:rsidRPr="00D2027A">
        <w:rPr>
          <w:i/>
          <w:iCs/>
          <w:sz w:val="22"/>
          <w:szCs w:val="22"/>
        </w:rPr>
        <w:t>u</w:t>
      </w:r>
      <w:r w:rsidR="002A6E6A" w:rsidRPr="00D2027A">
        <w:rPr>
          <w:sz w:val="22"/>
          <w:szCs w:val="22"/>
        </w:rPr>
        <w:t>(</w:t>
      </w:r>
      <w:proofErr w:type="spellStart"/>
      <w:r w:rsidR="002A6E6A" w:rsidRPr="00D2027A">
        <w:rPr>
          <w:i/>
          <w:iCs/>
          <w:sz w:val="22"/>
          <w:szCs w:val="22"/>
        </w:rPr>
        <w:t>x</w:t>
      </w:r>
      <w:r w:rsidR="002A6E6A" w:rsidRPr="00D2027A">
        <w:rPr>
          <w:i/>
          <w:iCs/>
          <w:sz w:val="22"/>
          <w:szCs w:val="22"/>
          <w:vertAlign w:val="subscript"/>
        </w:rPr>
        <w:t>pt</w:t>
      </w:r>
      <w:proofErr w:type="spellEnd"/>
      <w:r w:rsidR="002A6E6A" w:rsidRPr="00D2027A">
        <w:rPr>
          <w:sz w:val="22"/>
          <w:szCs w:val="22"/>
        </w:rPr>
        <w:t>) is respectively lower or higher than the value 0.3</w:t>
      </w:r>
      <w:r w:rsidR="002A6E6A" w:rsidRPr="00D2027A">
        <w:rPr>
          <w:i/>
          <w:iCs/>
          <w:sz w:val="22"/>
          <w:szCs w:val="22"/>
        </w:rPr>
        <w:t>σ</w:t>
      </w:r>
      <w:r w:rsidR="002A6E6A" w:rsidRPr="00D2027A">
        <w:rPr>
          <w:i/>
          <w:iCs/>
          <w:sz w:val="22"/>
          <w:szCs w:val="22"/>
          <w:vertAlign w:val="subscript"/>
        </w:rPr>
        <w:t>pt</w:t>
      </w:r>
      <w:r w:rsidRPr="00D2027A">
        <w:rPr>
          <w:sz w:val="22"/>
          <w:szCs w:val="22"/>
        </w:rPr>
        <w:t xml:space="preserve">. </w:t>
      </w:r>
      <w:r w:rsidR="00F572B4" w:rsidRPr="00D2027A">
        <w:rPr>
          <w:sz w:val="22"/>
          <w:szCs w:val="22"/>
        </w:rPr>
        <w:t xml:space="preserve">The </w:t>
      </w:r>
      <w:r w:rsidRPr="00D2027A">
        <w:rPr>
          <w:i/>
          <w:iCs/>
          <w:sz w:val="22"/>
          <w:szCs w:val="22"/>
        </w:rPr>
        <w:t>z</w:t>
      </w:r>
      <w:r w:rsidRPr="00D2027A">
        <w:rPr>
          <w:sz w:val="22"/>
          <w:szCs w:val="22"/>
        </w:rPr>
        <w:t>-</w:t>
      </w:r>
      <w:r w:rsidR="002A6E6A" w:rsidRPr="00D2027A">
        <w:rPr>
          <w:sz w:val="22"/>
          <w:szCs w:val="22"/>
        </w:rPr>
        <w:t xml:space="preserve"> and </w:t>
      </w:r>
      <w:r w:rsidR="002A6E6A" w:rsidRPr="00D2027A">
        <w:rPr>
          <w:i/>
          <w:iCs/>
          <w:sz w:val="22"/>
          <w:szCs w:val="22"/>
        </w:rPr>
        <w:t>z’</w:t>
      </w:r>
      <w:r w:rsidR="002A6E6A" w:rsidRPr="00D2027A">
        <w:rPr>
          <w:sz w:val="22"/>
          <w:szCs w:val="22"/>
        </w:rPr>
        <w:t>-</w:t>
      </w:r>
      <w:r w:rsidRPr="00D2027A">
        <w:rPr>
          <w:sz w:val="22"/>
          <w:szCs w:val="22"/>
        </w:rPr>
        <w:t>score</w:t>
      </w:r>
      <w:r w:rsidR="002A6E6A" w:rsidRPr="00D2027A">
        <w:rPr>
          <w:sz w:val="22"/>
          <w:szCs w:val="22"/>
        </w:rPr>
        <w:t>s</w:t>
      </w:r>
      <w:r w:rsidRPr="00D2027A">
        <w:rPr>
          <w:sz w:val="22"/>
          <w:szCs w:val="22"/>
        </w:rPr>
        <w:t xml:space="preserve"> </w:t>
      </w:r>
      <w:r w:rsidR="002A6E6A" w:rsidRPr="00D2027A">
        <w:rPr>
          <w:sz w:val="22"/>
          <w:szCs w:val="22"/>
        </w:rPr>
        <w:t>are</w:t>
      </w:r>
      <w:r w:rsidRPr="00D2027A">
        <w:rPr>
          <w:sz w:val="22"/>
          <w:szCs w:val="22"/>
        </w:rPr>
        <w:t xml:space="preserve"> calculated</w:t>
      </w:r>
      <w:r w:rsidR="002A6E6A" w:rsidRPr="00D2027A">
        <w:rPr>
          <w:sz w:val="22"/>
          <w:szCs w:val="22"/>
        </w:rPr>
        <w:t xml:space="preserve"> as</w:t>
      </w:r>
      <w:r w:rsidRPr="00D2027A">
        <w:rPr>
          <w:sz w:val="22"/>
          <w:szCs w:val="22"/>
        </w:rPr>
        <w:t>:</w:t>
      </w:r>
    </w:p>
    <w:p w14:paraId="6C5E9921" w14:textId="77777777" w:rsidR="002A6E6A" w:rsidRPr="00D2027A" w:rsidRDefault="002A6E6A" w:rsidP="00592BB8">
      <w:pPr>
        <w:pStyle w:val="Header"/>
        <w:tabs>
          <w:tab w:val="left" w:pos="720"/>
        </w:tabs>
        <w:spacing w:before="60" w:after="60"/>
        <w:jc w:val="both"/>
        <w:rPr>
          <w:sz w:val="22"/>
          <w:szCs w:val="22"/>
        </w:rPr>
      </w:pPr>
    </w:p>
    <w:p w14:paraId="3E502937" w14:textId="4209A2C9" w:rsidR="00592BB8" w:rsidRPr="003A25C9" w:rsidRDefault="002A6E6A" w:rsidP="002A6E6A">
      <w:pPr>
        <w:pStyle w:val="Header"/>
        <w:tabs>
          <w:tab w:val="clear" w:pos="4320"/>
          <w:tab w:val="clear" w:pos="8640"/>
          <w:tab w:val="center" w:pos="4536"/>
          <w:tab w:val="right" w:pos="9072"/>
        </w:tabs>
        <w:spacing w:before="60" w:after="60"/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pt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pt</m:t>
                </m:r>
              </m:sub>
            </m:sSub>
          </m:den>
        </m:f>
      </m:oMath>
      <w:r w:rsidRPr="003A25C9">
        <w:rPr>
          <w:sz w:val="22"/>
          <w:szCs w:val="22"/>
        </w:rPr>
        <w:tab/>
      </w:r>
    </w:p>
    <w:p w14:paraId="2D2806EA" w14:textId="77777777" w:rsidR="002A6E6A" w:rsidRPr="00D2027A" w:rsidRDefault="002A6E6A" w:rsidP="002A6E6A">
      <w:pPr>
        <w:pStyle w:val="Header"/>
        <w:tabs>
          <w:tab w:val="clear" w:pos="4320"/>
          <w:tab w:val="clear" w:pos="8640"/>
          <w:tab w:val="center" w:pos="4536"/>
          <w:tab w:val="right" w:pos="9072"/>
        </w:tabs>
        <w:spacing w:before="60" w:after="60"/>
        <w:jc w:val="both"/>
        <w:rPr>
          <w:sz w:val="22"/>
          <w:szCs w:val="22"/>
        </w:rPr>
      </w:pPr>
    </w:p>
    <w:p w14:paraId="56CC89BC" w14:textId="25E04B2A" w:rsidR="002A6E6A" w:rsidRPr="003A25C9" w:rsidRDefault="002A6E6A" w:rsidP="002A6E6A">
      <w:pPr>
        <w:pStyle w:val="Header"/>
        <w:tabs>
          <w:tab w:val="clear" w:pos="4320"/>
          <w:tab w:val="clear" w:pos="8640"/>
          <w:tab w:val="center" w:pos="4536"/>
          <w:tab w:val="right" w:pos="9072"/>
        </w:tabs>
        <w:spacing w:before="60" w:after="60"/>
        <w:jc w:val="both"/>
        <w:rPr>
          <w:sz w:val="22"/>
          <w:szCs w:val="22"/>
        </w:rPr>
      </w:pPr>
      <w:r>
        <w:tab/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pt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pt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pt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e>
            </m:rad>
          </m:den>
        </m:f>
      </m:oMath>
      <w:r w:rsidRPr="003A25C9">
        <w:rPr>
          <w:sz w:val="22"/>
          <w:szCs w:val="22"/>
        </w:rPr>
        <w:tab/>
      </w:r>
    </w:p>
    <w:p w14:paraId="244A092F" w14:textId="77777777" w:rsidR="00592BB8" w:rsidRPr="00D2027A" w:rsidRDefault="00592BB8" w:rsidP="00592BB8">
      <w:pPr>
        <w:pStyle w:val="Header"/>
        <w:tabs>
          <w:tab w:val="left" w:pos="720"/>
        </w:tabs>
        <w:spacing w:before="60" w:after="60"/>
        <w:rPr>
          <w:sz w:val="22"/>
          <w:szCs w:val="22"/>
        </w:rPr>
      </w:pPr>
    </w:p>
    <w:p w14:paraId="48A31337" w14:textId="4DFBAFFF" w:rsidR="002A6E6A" w:rsidRPr="00D2027A" w:rsidRDefault="002A6E6A" w:rsidP="002A6E6A">
      <w:pPr>
        <w:pStyle w:val="Header"/>
        <w:tabs>
          <w:tab w:val="clear" w:pos="4320"/>
          <w:tab w:val="clear" w:pos="8640"/>
        </w:tabs>
        <w:suppressAutoHyphens/>
        <w:spacing w:line="264" w:lineRule="auto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The conventional interpretation of </w:t>
      </w:r>
      <w:r w:rsidRPr="00D2027A">
        <w:rPr>
          <w:i/>
          <w:sz w:val="22"/>
          <w:szCs w:val="22"/>
        </w:rPr>
        <w:t>z</w:t>
      </w:r>
      <w:r w:rsidRPr="00D2027A">
        <w:rPr>
          <w:sz w:val="22"/>
          <w:szCs w:val="22"/>
        </w:rPr>
        <w:t xml:space="preserve">- or </w:t>
      </w:r>
      <w:r w:rsidRPr="00D2027A">
        <w:rPr>
          <w:i/>
          <w:sz w:val="22"/>
          <w:szCs w:val="22"/>
        </w:rPr>
        <w:t>z’</w:t>
      </w:r>
      <w:r w:rsidRPr="00D2027A">
        <w:rPr>
          <w:sz w:val="22"/>
          <w:szCs w:val="22"/>
        </w:rPr>
        <w:t>-scores is as follows</w:t>
      </w:r>
      <w:r w:rsidRPr="00D2027A">
        <w:rPr>
          <w:rStyle w:val="FootnoteReference"/>
          <w:sz w:val="22"/>
          <w:szCs w:val="22"/>
        </w:rPr>
        <w:footnoteReference w:id="3"/>
      </w:r>
      <w:r w:rsidRPr="00D2027A">
        <w:rPr>
          <w:sz w:val="22"/>
          <w:szCs w:val="22"/>
        </w:rPr>
        <w:t>:</w:t>
      </w:r>
    </w:p>
    <w:p w14:paraId="33250FAE" w14:textId="77777777" w:rsidR="002A6E6A" w:rsidRPr="00D2027A" w:rsidRDefault="002A6E6A" w:rsidP="002A6E6A">
      <w:pPr>
        <w:suppressAutoHyphens/>
        <w:autoSpaceDE/>
        <w:autoSpaceDN/>
        <w:spacing w:line="264" w:lineRule="auto"/>
        <w:jc w:val="both"/>
        <w:rPr>
          <w:sz w:val="22"/>
          <w:szCs w:val="22"/>
        </w:rPr>
      </w:pPr>
    </w:p>
    <w:p w14:paraId="2FD752DD" w14:textId="77777777" w:rsidR="002A6E6A" w:rsidRPr="00D2027A" w:rsidRDefault="002A6E6A" w:rsidP="002A6E6A">
      <w:pPr>
        <w:autoSpaceDE/>
        <w:autoSpaceDN/>
        <w:spacing w:line="360" w:lineRule="auto"/>
        <w:jc w:val="both"/>
        <w:rPr>
          <w:rFonts w:eastAsia="Calibri"/>
          <w:bCs/>
          <w:sz w:val="22"/>
          <w:szCs w:val="22"/>
        </w:rPr>
      </w:pPr>
      <w:r w:rsidRPr="00D2027A">
        <w:rPr>
          <w:rFonts w:eastAsia="Calibri"/>
          <w:bCs/>
          <w:sz w:val="22"/>
          <w:szCs w:val="22"/>
        </w:rPr>
        <w:t>|</w:t>
      </w:r>
      <w:r w:rsidRPr="00D2027A">
        <w:rPr>
          <w:rFonts w:eastAsia="Calibri"/>
          <w:bCs/>
          <w:i/>
          <w:sz w:val="22"/>
          <w:szCs w:val="22"/>
        </w:rPr>
        <w:t>z</w:t>
      </w:r>
      <w:r w:rsidRPr="00D2027A">
        <w:rPr>
          <w:rFonts w:eastAsia="Calibri"/>
          <w:bCs/>
          <w:sz w:val="22"/>
          <w:szCs w:val="22"/>
        </w:rPr>
        <w:t xml:space="preserve">, </w:t>
      </w:r>
      <w:r w:rsidRPr="00D2027A">
        <w:rPr>
          <w:rFonts w:eastAsia="Calibri"/>
          <w:bCs/>
          <w:i/>
          <w:sz w:val="22"/>
          <w:szCs w:val="22"/>
        </w:rPr>
        <w:t>z’</w:t>
      </w:r>
      <w:r w:rsidRPr="00D2027A">
        <w:rPr>
          <w:rFonts w:eastAsia="Calibri"/>
          <w:bCs/>
          <w:sz w:val="22"/>
          <w:szCs w:val="22"/>
        </w:rPr>
        <w:t>| ≤ 2</w:t>
      </w:r>
      <w:r w:rsidRPr="00D2027A">
        <w:rPr>
          <w:rFonts w:eastAsia="Calibri"/>
          <w:bCs/>
          <w:sz w:val="22"/>
          <w:szCs w:val="22"/>
        </w:rPr>
        <w:tab/>
        <w:t>the result is considered acceptable</w:t>
      </w:r>
    </w:p>
    <w:p w14:paraId="7292BB27" w14:textId="77777777" w:rsidR="002A6E6A" w:rsidRPr="00D2027A" w:rsidRDefault="002A6E6A" w:rsidP="002A6E6A">
      <w:pPr>
        <w:autoSpaceDE/>
        <w:autoSpaceDN/>
        <w:spacing w:line="360" w:lineRule="auto"/>
        <w:jc w:val="both"/>
        <w:rPr>
          <w:rFonts w:eastAsia="Calibri"/>
          <w:bCs/>
          <w:sz w:val="22"/>
          <w:szCs w:val="22"/>
        </w:rPr>
      </w:pPr>
      <w:r w:rsidRPr="00D2027A">
        <w:rPr>
          <w:rFonts w:eastAsia="Calibri"/>
          <w:bCs/>
          <w:sz w:val="22"/>
          <w:szCs w:val="22"/>
        </w:rPr>
        <w:t>2 &lt; |</w:t>
      </w:r>
      <w:r w:rsidRPr="00D2027A">
        <w:rPr>
          <w:rFonts w:eastAsia="Calibri"/>
          <w:bCs/>
          <w:i/>
          <w:sz w:val="22"/>
          <w:szCs w:val="22"/>
        </w:rPr>
        <w:t>z</w:t>
      </w:r>
      <w:r w:rsidRPr="00D2027A">
        <w:rPr>
          <w:rFonts w:eastAsia="Calibri"/>
          <w:bCs/>
          <w:sz w:val="22"/>
          <w:szCs w:val="22"/>
        </w:rPr>
        <w:t xml:space="preserve">, </w:t>
      </w:r>
      <w:r w:rsidRPr="00D2027A">
        <w:rPr>
          <w:rFonts w:eastAsia="Calibri"/>
          <w:bCs/>
          <w:i/>
          <w:sz w:val="22"/>
          <w:szCs w:val="22"/>
        </w:rPr>
        <w:t>z’</w:t>
      </w:r>
      <w:r w:rsidRPr="00D2027A">
        <w:rPr>
          <w:rFonts w:eastAsia="Calibri"/>
          <w:bCs/>
          <w:sz w:val="22"/>
          <w:szCs w:val="22"/>
        </w:rPr>
        <w:t>| &lt; 3</w:t>
      </w:r>
      <w:r w:rsidRPr="00D2027A">
        <w:rPr>
          <w:rFonts w:eastAsia="Calibri"/>
          <w:bCs/>
          <w:sz w:val="22"/>
          <w:szCs w:val="22"/>
        </w:rPr>
        <w:tab/>
        <w:t>the result is considered to give a warning signal</w:t>
      </w:r>
    </w:p>
    <w:p w14:paraId="0222C354" w14:textId="77777777" w:rsidR="002A6E6A" w:rsidRPr="00D2027A" w:rsidRDefault="002A6E6A" w:rsidP="002A6E6A">
      <w:pPr>
        <w:suppressAutoHyphens/>
        <w:autoSpaceDE/>
        <w:autoSpaceDN/>
        <w:spacing w:line="360" w:lineRule="auto"/>
        <w:jc w:val="both"/>
        <w:rPr>
          <w:rFonts w:eastAsia="Calibri"/>
          <w:bCs/>
          <w:sz w:val="22"/>
          <w:szCs w:val="22"/>
        </w:rPr>
      </w:pPr>
      <w:r w:rsidRPr="00D2027A">
        <w:rPr>
          <w:rFonts w:eastAsia="Calibri"/>
          <w:bCs/>
          <w:sz w:val="22"/>
          <w:szCs w:val="22"/>
        </w:rPr>
        <w:t>|</w:t>
      </w:r>
      <w:r w:rsidRPr="00D2027A">
        <w:rPr>
          <w:rFonts w:eastAsia="Calibri"/>
          <w:bCs/>
          <w:i/>
          <w:sz w:val="22"/>
          <w:szCs w:val="22"/>
        </w:rPr>
        <w:t>z</w:t>
      </w:r>
      <w:r w:rsidRPr="00D2027A">
        <w:rPr>
          <w:rFonts w:eastAsia="Calibri"/>
          <w:bCs/>
          <w:sz w:val="22"/>
          <w:szCs w:val="22"/>
        </w:rPr>
        <w:t xml:space="preserve">, </w:t>
      </w:r>
      <w:r w:rsidRPr="00D2027A">
        <w:rPr>
          <w:rFonts w:eastAsia="Calibri"/>
          <w:bCs/>
          <w:i/>
          <w:sz w:val="22"/>
          <w:szCs w:val="22"/>
        </w:rPr>
        <w:t>z’</w:t>
      </w:r>
      <w:r w:rsidRPr="00D2027A">
        <w:rPr>
          <w:rFonts w:eastAsia="Calibri"/>
          <w:bCs/>
          <w:sz w:val="22"/>
          <w:szCs w:val="22"/>
        </w:rPr>
        <w:t>| ≥ 3</w:t>
      </w:r>
      <w:r w:rsidRPr="00D2027A">
        <w:rPr>
          <w:rFonts w:eastAsia="Calibri"/>
          <w:bCs/>
          <w:sz w:val="22"/>
          <w:szCs w:val="22"/>
        </w:rPr>
        <w:tab/>
        <w:t xml:space="preserve">the result </w:t>
      </w:r>
      <w:proofErr w:type="gramStart"/>
      <w:r w:rsidRPr="00D2027A">
        <w:rPr>
          <w:rFonts w:eastAsia="Calibri"/>
          <w:bCs/>
          <w:sz w:val="22"/>
          <w:szCs w:val="22"/>
        </w:rPr>
        <w:t>is considered to be</w:t>
      </w:r>
      <w:proofErr w:type="gramEnd"/>
      <w:r w:rsidRPr="00D2027A">
        <w:rPr>
          <w:rFonts w:eastAsia="Calibri"/>
          <w:bCs/>
          <w:sz w:val="22"/>
          <w:szCs w:val="22"/>
        </w:rPr>
        <w:t xml:space="preserve"> unacceptable (or action signal)</w:t>
      </w:r>
    </w:p>
    <w:p w14:paraId="37D6B136" w14:textId="77777777" w:rsidR="002A6E6A" w:rsidRPr="00D2027A" w:rsidRDefault="002A6E6A" w:rsidP="002A6E6A">
      <w:pPr>
        <w:suppressAutoHyphens/>
        <w:autoSpaceDE/>
        <w:autoSpaceDN/>
        <w:spacing w:line="264" w:lineRule="auto"/>
        <w:jc w:val="both"/>
        <w:rPr>
          <w:sz w:val="22"/>
          <w:szCs w:val="22"/>
        </w:rPr>
      </w:pPr>
    </w:p>
    <w:p w14:paraId="763EB8D9" w14:textId="078AE025" w:rsidR="002A6E6A" w:rsidRPr="00D2027A" w:rsidRDefault="002A6E6A" w:rsidP="002A6E6A">
      <w:pPr>
        <w:suppressAutoHyphens/>
        <w:autoSpaceDE/>
        <w:autoSpaceDN/>
        <w:spacing w:line="264" w:lineRule="auto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Generally speaking, any </w:t>
      </w:r>
      <w:r w:rsidRPr="00D2027A">
        <w:rPr>
          <w:i/>
          <w:iCs/>
          <w:sz w:val="22"/>
          <w:szCs w:val="22"/>
        </w:rPr>
        <w:t>z</w:t>
      </w:r>
      <w:r w:rsidRPr="00D2027A">
        <w:rPr>
          <w:sz w:val="22"/>
          <w:szCs w:val="22"/>
        </w:rPr>
        <w:t xml:space="preserve">- or </w:t>
      </w:r>
      <w:r w:rsidRPr="00D2027A">
        <w:rPr>
          <w:i/>
          <w:sz w:val="22"/>
          <w:szCs w:val="22"/>
        </w:rPr>
        <w:t>z’</w:t>
      </w:r>
      <w:r w:rsidRPr="00D2027A">
        <w:rPr>
          <w:sz w:val="22"/>
          <w:szCs w:val="22"/>
        </w:rPr>
        <w:t xml:space="preserve">-score for an element outside the range -2 </w:t>
      </w:r>
      <w:r w:rsidRPr="00D2027A">
        <w:rPr>
          <w:sz w:val="22"/>
          <w:szCs w:val="22"/>
        </w:rPr>
        <w:sym w:font="Symbol" w:char="F0A3"/>
      </w:r>
      <w:r w:rsidRPr="00D2027A">
        <w:rPr>
          <w:sz w:val="22"/>
          <w:szCs w:val="22"/>
        </w:rPr>
        <w:t xml:space="preserve"> </w:t>
      </w:r>
      <w:r w:rsidRPr="00D2027A">
        <w:rPr>
          <w:i/>
          <w:iCs/>
          <w:sz w:val="22"/>
          <w:szCs w:val="22"/>
        </w:rPr>
        <w:t>z</w:t>
      </w:r>
      <w:r w:rsidRPr="00D2027A">
        <w:rPr>
          <w:sz w:val="22"/>
          <w:szCs w:val="22"/>
        </w:rPr>
        <w:t>,</w:t>
      </w:r>
      <w:r w:rsidRPr="00D2027A">
        <w:rPr>
          <w:i/>
          <w:iCs/>
          <w:sz w:val="22"/>
          <w:szCs w:val="22"/>
        </w:rPr>
        <w:t xml:space="preserve"> z’</w:t>
      </w:r>
      <w:r w:rsidRPr="00D2027A">
        <w:rPr>
          <w:sz w:val="22"/>
          <w:szCs w:val="22"/>
        </w:rPr>
        <w:t xml:space="preserve"> </w:t>
      </w:r>
      <w:r w:rsidR="004448D7" w:rsidRPr="00D2027A">
        <w:rPr>
          <w:sz w:val="22"/>
          <w:szCs w:val="22"/>
        </w:rPr>
        <w:sym w:font="Symbol" w:char="F0A3"/>
      </w:r>
      <w:r w:rsidR="004448D7" w:rsidRPr="00D2027A">
        <w:rPr>
          <w:sz w:val="22"/>
          <w:szCs w:val="22"/>
        </w:rPr>
        <w:t xml:space="preserve"> </w:t>
      </w:r>
      <w:r w:rsidRPr="00D2027A">
        <w:rPr>
          <w:sz w:val="22"/>
          <w:szCs w:val="22"/>
        </w:rPr>
        <w:t>2 should be examined by the analyst and all steps of the analytical procedure verified to identify the source(s) of the analytical bias.</w:t>
      </w:r>
    </w:p>
    <w:p w14:paraId="5F464129" w14:textId="77777777" w:rsidR="002A6E6A" w:rsidRPr="00D2027A" w:rsidRDefault="002A6E6A" w:rsidP="002A6E6A">
      <w:pPr>
        <w:suppressAutoHyphens/>
        <w:autoSpaceDE/>
        <w:autoSpaceDN/>
        <w:spacing w:line="264" w:lineRule="auto"/>
        <w:jc w:val="both"/>
        <w:rPr>
          <w:sz w:val="22"/>
          <w:szCs w:val="22"/>
        </w:rPr>
      </w:pPr>
    </w:p>
    <w:p w14:paraId="253EA421" w14:textId="672F7CEA" w:rsidR="002A6E6A" w:rsidRPr="00D2027A" w:rsidRDefault="002A6E6A" w:rsidP="002A6E6A">
      <w:pPr>
        <w:suppressAutoHyphens/>
        <w:autoSpaceDE/>
        <w:autoSpaceDN/>
        <w:spacing w:line="264" w:lineRule="auto"/>
        <w:jc w:val="both"/>
        <w:rPr>
          <w:sz w:val="22"/>
          <w:szCs w:val="22"/>
        </w:rPr>
      </w:pPr>
      <w:r w:rsidRPr="00D2027A">
        <w:rPr>
          <w:sz w:val="22"/>
          <w:szCs w:val="22"/>
        </w:rPr>
        <w:t xml:space="preserve">The reported results </w:t>
      </w:r>
      <w:r w:rsidR="00F9379C" w:rsidRPr="00D2027A">
        <w:rPr>
          <w:sz w:val="22"/>
          <w:szCs w:val="22"/>
        </w:rPr>
        <w:t>are</w:t>
      </w:r>
      <w:r w:rsidRPr="00D2027A">
        <w:rPr>
          <w:sz w:val="22"/>
          <w:szCs w:val="22"/>
        </w:rPr>
        <w:t xml:space="preserve"> accompanied by the </w:t>
      </w:r>
      <w:r w:rsidR="00842344" w:rsidRPr="00D2027A">
        <w:rPr>
          <w:sz w:val="22"/>
          <w:szCs w:val="22"/>
        </w:rPr>
        <w:t xml:space="preserve">combined </w:t>
      </w:r>
      <w:r w:rsidRPr="00D2027A">
        <w:rPr>
          <w:sz w:val="22"/>
          <w:szCs w:val="22"/>
        </w:rPr>
        <w:t>standard uncertainty estimate made by the participant. The</w:t>
      </w:r>
      <w:r w:rsidR="00842344" w:rsidRPr="00D2027A">
        <w:rPr>
          <w:sz w:val="22"/>
          <w:szCs w:val="22"/>
        </w:rPr>
        <w:t>se</w:t>
      </w:r>
      <w:r w:rsidRPr="00D2027A">
        <w:rPr>
          <w:sz w:val="22"/>
          <w:szCs w:val="22"/>
        </w:rPr>
        <w:t xml:space="preserve"> values </w:t>
      </w:r>
      <w:r w:rsidR="0024420D">
        <w:rPr>
          <w:sz w:val="22"/>
          <w:szCs w:val="22"/>
        </w:rPr>
        <w:t>are</w:t>
      </w:r>
      <w:r w:rsidRPr="00D2027A">
        <w:rPr>
          <w:sz w:val="22"/>
          <w:szCs w:val="22"/>
        </w:rPr>
        <w:t xml:space="preserve"> used to calculate the </w:t>
      </w:r>
      <w:r w:rsidRPr="00D2027A">
        <w:rPr>
          <w:i/>
          <w:iCs/>
          <w:sz w:val="22"/>
          <w:szCs w:val="22"/>
        </w:rPr>
        <w:t>Zeta</w:t>
      </w:r>
      <w:r w:rsidRPr="00D2027A">
        <w:rPr>
          <w:sz w:val="22"/>
          <w:szCs w:val="22"/>
        </w:rPr>
        <w:t>-scores:</w:t>
      </w:r>
    </w:p>
    <w:p w14:paraId="6F2B3E7B" w14:textId="77777777" w:rsidR="002A6E6A" w:rsidRPr="00D2027A" w:rsidRDefault="002A6E6A" w:rsidP="002A6E6A">
      <w:pPr>
        <w:suppressAutoHyphens/>
        <w:autoSpaceDE/>
        <w:autoSpaceDN/>
        <w:spacing w:line="264" w:lineRule="auto"/>
        <w:rPr>
          <w:sz w:val="22"/>
          <w:szCs w:val="22"/>
        </w:rPr>
      </w:pPr>
    </w:p>
    <w:p w14:paraId="6908F33C" w14:textId="21B1ECA7" w:rsidR="002A6E6A" w:rsidRPr="003A25C9" w:rsidRDefault="002A6E6A" w:rsidP="002A6E6A">
      <w:pPr>
        <w:tabs>
          <w:tab w:val="center" w:pos="4536"/>
          <w:tab w:val="right" w:pos="9072"/>
        </w:tabs>
        <w:suppressAutoHyphens/>
        <w:autoSpaceDE/>
        <w:autoSpaceDN/>
        <w:spacing w:line="264" w:lineRule="auto"/>
        <w:rPr>
          <w:sz w:val="22"/>
          <w:szCs w:val="22"/>
        </w:rPr>
      </w:pPr>
      <w:r w:rsidRPr="002A6E6A"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ζ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pt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pt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e>
            </m:rad>
          </m:den>
        </m:f>
      </m:oMath>
      <w:r w:rsidRPr="003A25C9">
        <w:rPr>
          <w:sz w:val="22"/>
          <w:szCs w:val="22"/>
        </w:rPr>
        <w:tab/>
      </w:r>
    </w:p>
    <w:p w14:paraId="17683D0F" w14:textId="77777777" w:rsidR="002A6E6A" w:rsidRPr="00D2027A" w:rsidRDefault="002A6E6A" w:rsidP="002A6E6A">
      <w:pPr>
        <w:suppressAutoHyphens/>
        <w:autoSpaceDE/>
        <w:autoSpaceDN/>
        <w:spacing w:line="264" w:lineRule="auto"/>
        <w:rPr>
          <w:sz w:val="22"/>
          <w:szCs w:val="22"/>
        </w:rPr>
      </w:pPr>
    </w:p>
    <w:p w14:paraId="04821F5D" w14:textId="169987CA" w:rsidR="002A6E6A" w:rsidRPr="00D2027A" w:rsidRDefault="002A6E6A" w:rsidP="00477B2D">
      <w:pPr>
        <w:suppressAutoHyphens/>
        <w:autoSpaceDE/>
        <w:autoSpaceDN/>
        <w:spacing w:line="264" w:lineRule="auto"/>
        <w:jc w:val="both"/>
        <w:rPr>
          <w:bCs/>
          <w:sz w:val="22"/>
          <w:szCs w:val="22"/>
        </w:rPr>
      </w:pPr>
      <w:r w:rsidRPr="00D2027A">
        <w:rPr>
          <w:bCs/>
          <w:sz w:val="22"/>
          <w:szCs w:val="22"/>
        </w:rPr>
        <w:t xml:space="preserve">Where </w:t>
      </w:r>
      <w:r w:rsidRPr="00D2027A">
        <w:rPr>
          <w:bCs/>
          <w:i/>
          <w:iCs/>
          <w:sz w:val="22"/>
          <w:szCs w:val="22"/>
        </w:rPr>
        <w:t>u</w:t>
      </w:r>
      <w:r w:rsidRPr="00D2027A">
        <w:rPr>
          <w:bCs/>
          <w:iCs/>
          <w:sz w:val="22"/>
          <w:szCs w:val="22"/>
        </w:rPr>
        <w:t>(</w:t>
      </w:r>
      <w:r w:rsidRPr="00D2027A">
        <w:rPr>
          <w:bCs/>
          <w:i/>
          <w:iCs/>
          <w:sz w:val="22"/>
          <w:szCs w:val="22"/>
        </w:rPr>
        <w:t>x</w:t>
      </w:r>
      <w:r w:rsidRPr="00D2027A">
        <w:rPr>
          <w:bCs/>
          <w:i/>
          <w:iCs/>
          <w:sz w:val="22"/>
          <w:szCs w:val="22"/>
          <w:vertAlign w:val="subscript"/>
        </w:rPr>
        <w:t>i</w:t>
      </w:r>
      <w:r w:rsidRPr="00D2027A">
        <w:rPr>
          <w:bCs/>
          <w:iCs/>
          <w:sz w:val="22"/>
          <w:szCs w:val="22"/>
        </w:rPr>
        <w:t>)</w:t>
      </w:r>
      <w:r w:rsidRPr="00D2027A">
        <w:rPr>
          <w:bCs/>
          <w:sz w:val="22"/>
          <w:szCs w:val="22"/>
        </w:rPr>
        <w:t xml:space="preserve"> is the</w:t>
      </w:r>
      <w:r w:rsidRPr="00D2027A">
        <w:rPr>
          <w:sz w:val="22"/>
          <w:szCs w:val="22"/>
        </w:rPr>
        <w:t xml:space="preserve"> </w:t>
      </w:r>
      <w:r w:rsidRPr="00D2027A">
        <w:rPr>
          <w:bCs/>
          <w:sz w:val="22"/>
          <w:szCs w:val="22"/>
        </w:rPr>
        <w:t xml:space="preserve">participant’s own estimate of the </w:t>
      </w:r>
      <w:r w:rsidR="00842344" w:rsidRPr="00D2027A">
        <w:rPr>
          <w:bCs/>
          <w:sz w:val="22"/>
          <w:szCs w:val="22"/>
        </w:rPr>
        <w:t xml:space="preserve">combined </w:t>
      </w:r>
      <w:r w:rsidRPr="00D2027A">
        <w:rPr>
          <w:bCs/>
          <w:sz w:val="22"/>
          <w:szCs w:val="22"/>
        </w:rPr>
        <w:t xml:space="preserve">standard uncertainty of its result </w:t>
      </w:r>
      <w:r w:rsidRPr="00D2027A">
        <w:rPr>
          <w:bCs/>
          <w:i/>
          <w:iCs/>
          <w:sz w:val="22"/>
          <w:szCs w:val="22"/>
        </w:rPr>
        <w:t>x</w:t>
      </w:r>
      <w:r w:rsidRPr="00D2027A">
        <w:rPr>
          <w:bCs/>
          <w:i/>
          <w:iCs/>
          <w:sz w:val="22"/>
          <w:szCs w:val="22"/>
          <w:vertAlign w:val="subscript"/>
        </w:rPr>
        <w:t>i</w:t>
      </w:r>
      <w:r w:rsidRPr="00D2027A">
        <w:rPr>
          <w:bCs/>
          <w:sz w:val="22"/>
          <w:szCs w:val="22"/>
        </w:rPr>
        <w:t xml:space="preserve">. In principle, the same interpretation as described in the above for the </w:t>
      </w:r>
      <w:r w:rsidRPr="00D2027A">
        <w:rPr>
          <w:bCs/>
          <w:i/>
          <w:iCs/>
          <w:sz w:val="22"/>
          <w:szCs w:val="22"/>
        </w:rPr>
        <w:t>z</w:t>
      </w:r>
      <w:r w:rsidRPr="00D2027A">
        <w:rPr>
          <w:bCs/>
          <w:sz w:val="22"/>
          <w:szCs w:val="22"/>
        </w:rPr>
        <w:t xml:space="preserve">- and </w:t>
      </w:r>
      <w:r w:rsidRPr="00D2027A">
        <w:rPr>
          <w:bCs/>
          <w:i/>
          <w:iCs/>
          <w:sz w:val="22"/>
          <w:szCs w:val="22"/>
        </w:rPr>
        <w:t>z’</w:t>
      </w:r>
      <w:r w:rsidRPr="00D2027A">
        <w:rPr>
          <w:bCs/>
          <w:sz w:val="22"/>
          <w:szCs w:val="22"/>
        </w:rPr>
        <w:t xml:space="preserve">-scores may be applied to </w:t>
      </w:r>
      <w:r w:rsidRPr="00D2027A">
        <w:rPr>
          <w:bCs/>
          <w:i/>
          <w:iCs/>
          <w:sz w:val="22"/>
          <w:szCs w:val="22"/>
        </w:rPr>
        <w:t>Zeta</w:t>
      </w:r>
      <w:r w:rsidRPr="00D2027A">
        <w:rPr>
          <w:bCs/>
          <w:sz w:val="22"/>
          <w:szCs w:val="22"/>
        </w:rPr>
        <w:t>-scores.</w:t>
      </w:r>
    </w:p>
    <w:sectPr w:rsidR="002A6E6A" w:rsidRPr="00D2027A" w:rsidSect="00DB496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8A09" w14:textId="77777777" w:rsidR="003F3F3A" w:rsidRDefault="003F3F3A" w:rsidP="00592BB8">
      <w:r>
        <w:separator/>
      </w:r>
    </w:p>
  </w:endnote>
  <w:endnote w:type="continuationSeparator" w:id="0">
    <w:p w14:paraId="3A4DFFBF" w14:textId="77777777" w:rsidR="003F3F3A" w:rsidRDefault="003F3F3A" w:rsidP="0059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69A7" w14:textId="77777777" w:rsidR="003F3F3A" w:rsidRDefault="003F3F3A" w:rsidP="00592BB8">
      <w:r>
        <w:separator/>
      </w:r>
    </w:p>
  </w:footnote>
  <w:footnote w:type="continuationSeparator" w:id="0">
    <w:p w14:paraId="75C09D6F" w14:textId="77777777" w:rsidR="003F3F3A" w:rsidRDefault="003F3F3A" w:rsidP="00592BB8">
      <w:r>
        <w:continuationSeparator/>
      </w:r>
    </w:p>
  </w:footnote>
  <w:footnote w:id="1">
    <w:p w14:paraId="56CF8AD5" w14:textId="485BD0F7" w:rsidR="0024104B" w:rsidRPr="00912878" w:rsidRDefault="0024104B" w:rsidP="002A6E6A">
      <w:pPr>
        <w:pStyle w:val="FootnoteText"/>
        <w:jc w:val="both"/>
        <w:rPr>
          <w:sz w:val="18"/>
          <w:szCs w:val="18"/>
          <w:lang w:val="en-US"/>
        </w:rPr>
      </w:pPr>
      <w:r w:rsidRPr="00912878">
        <w:rPr>
          <w:rStyle w:val="FootnoteReference"/>
          <w:sz w:val="18"/>
          <w:szCs w:val="18"/>
        </w:rPr>
        <w:footnoteRef/>
      </w:r>
      <w:r w:rsidRPr="00912878">
        <w:rPr>
          <w:sz w:val="18"/>
          <w:szCs w:val="18"/>
        </w:rPr>
        <w:t xml:space="preserve"> Thompson, M. Recent trends in inter-laboratory precision at ppb and sub-ppb concentrations in relation to fitness for purpose criteria in proficiency testing. Analyst 2000, 125, 385-386, doi:10.1039/b000282h.</w:t>
      </w:r>
    </w:p>
  </w:footnote>
  <w:footnote w:id="2">
    <w:p w14:paraId="69384656" w14:textId="663B17A5" w:rsidR="002A6E6A" w:rsidRPr="00912878" w:rsidRDefault="002A6E6A" w:rsidP="002A6E6A">
      <w:pPr>
        <w:pStyle w:val="FootnoteText"/>
        <w:jc w:val="both"/>
        <w:rPr>
          <w:sz w:val="18"/>
          <w:szCs w:val="18"/>
        </w:rPr>
      </w:pPr>
      <w:r w:rsidRPr="00912878">
        <w:rPr>
          <w:rStyle w:val="FootnoteReference"/>
          <w:sz w:val="18"/>
          <w:szCs w:val="18"/>
        </w:rPr>
        <w:footnoteRef/>
      </w:r>
      <w:r w:rsidRPr="00912878">
        <w:rPr>
          <w:sz w:val="18"/>
          <w:szCs w:val="18"/>
        </w:rPr>
        <w:t xml:space="preserve"> INTERNATIONAL ORGANIZATION FOR STANDARDIZATION, Statistical methods for use in proficiency testing by interlaboratory comparison, ISO 13528:2015, ISO, Geneva (2015).</w:t>
      </w:r>
    </w:p>
  </w:footnote>
  <w:footnote w:id="3">
    <w:p w14:paraId="61B16B4C" w14:textId="0EAC7BD4" w:rsidR="002A6E6A" w:rsidRPr="002A6E6A" w:rsidRDefault="002A6E6A" w:rsidP="002A6E6A">
      <w:pPr>
        <w:pStyle w:val="FootnoteText"/>
        <w:jc w:val="both"/>
        <w:rPr>
          <w:lang w:val="en-US"/>
        </w:rPr>
      </w:pPr>
      <w:r w:rsidRPr="00912878">
        <w:rPr>
          <w:rStyle w:val="FootnoteReference"/>
          <w:sz w:val="18"/>
          <w:szCs w:val="18"/>
        </w:rPr>
        <w:footnoteRef/>
      </w:r>
      <w:r w:rsidRPr="00912878">
        <w:rPr>
          <w:sz w:val="18"/>
          <w:szCs w:val="18"/>
        </w:rPr>
        <w:t xml:space="preserve"> INTERNATIONAL ORGANIZATION FOR STANDARDIZATION, Conformity assessment – General requirements for proficiency testing, ISO/IEC 17043:2010, ISO, Geneva (20</w:t>
      </w:r>
      <w:r w:rsidR="008470E3" w:rsidRPr="00912878">
        <w:rPr>
          <w:sz w:val="18"/>
          <w:szCs w:val="18"/>
        </w:rPr>
        <w:t>10</w:t>
      </w:r>
      <w:r w:rsidRPr="00912878">
        <w:rPr>
          <w:sz w:val="18"/>
          <w:szCs w:val="18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B8"/>
    <w:rsid w:val="00023165"/>
    <w:rsid w:val="000575F2"/>
    <w:rsid w:val="00063EFD"/>
    <w:rsid w:val="00094B9E"/>
    <w:rsid w:val="000A1EC2"/>
    <w:rsid w:val="000B3FA3"/>
    <w:rsid w:val="000B459B"/>
    <w:rsid w:val="000D4087"/>
    <w:rsid w:val="000F2569"/>
    <w:rsid w:val="00101614"/>
    <w:rsid w:val="00103E76"/>
    <w:rsid w:val="00122771"/>
    <w:rsid w:val="001311EC"/>
    <w:rsid w:val="00135AE6"/>
    <w:rsid w:val="00146BDF"/>
    <w:rsid w:val="00150D3D"/>
    <w:rsid w:val="00167A77"/>
    <w:rsid w:val="001A23A7"/>
    <w:rsid w:val="001A4F52"/>
    <w:rsid w:val="001D2213"/>
    <w:rsid w:val="001E7913"/>
    <w:rsid w:val="001F2D53"/>
    <w:rsid w:val="00216480"/>
    <w:rsid w:val="002221D0"/>
    <w:rsid w:val="0023653D"/>
    <w:rsid w:val="0024104B"/>
    <w:rsid w:val="0024420D"/>
    <w:rsid w:val="002946FE"/>
    <w:rsid w:val="002A6E6A"/>
    <w:rsid w:val="002C332F"/>
    <w:rsid w:val="002C545B"/>
    <w:rsid w:val="00322538"/>
    <w:rsid w:val="00336BA6"/>
    <w:rsid w:val="003431CB"/>
    <w:rsid w:val="00361292"/>
    <w:rsid w:val="00365417"/>
    <w:rsid w:val="003855A0"/>
    <w:rsid w:val="003A25C9"/>
    <w:rsid w:val="003B19CD"/>
    <w:rsid w:val="003E2069"/>
    <w:rsid w:val="003F3F3A"/>
    <w:rsid w:val="00401B67"/>
    <w:rsid w:val="0040584A"/>
    <w:rsid w:val="004102B3"/>
    <w:rsid w:val="00412160"/>
    <w:rsid w:val="00414982"/>
    <w:rsid w:val="004448D7"/>
    <w:rsid w:val="00456C40"/>
    <w:rsid w:val="00464CB7"/>
    <w:rsid w:val="0046745A"/>
    <w:rsid w:val="0047466E"/>
    <w:rsid w:val="00477B2D"/>
    <w:rsid w:val="004B25B1"/>
    <w:rsid w:val="004B5510"/>
    <w:rsid w:val="004F18C4"/>
    <w:rsid w:val="00505276"/>
    <w:rsid w:val="00513840"/>
    <w:rsid w:val="0052238C"/>
    <w:rsid w:val="005224E2"/>
    <w:rsid w:val="00531FAF"/>
    <w:rsid w:val="00536694"/>
    <w:rsid w:val="005410DD"/>
    <w:rsid w:val="005622F4"/>
    <w:rsid w:val="00592BB8"/>
    <w:rsid w:val="005C60A1"/>
    <w:rsid w:val="005D4AEA"/>
    <w:rsid w:val="005E00B2"/>
    <w:rsid w:val="005E596F"/>
    <w:rsid w:val="005F1926"/>
    <w:rsid w:val="00605847"/>
    <w:rsid w:val="00613CBC"/>
    <w:rsid w:val="00623D42"/>
    <w:rsid w:val="006251DF"/>
    <w:rsid w:val="0063745F"/>
    <w:rsid w:val="00642CCF"/>
    <w:rsid w:val="00663178"/>
    <w:rsid w:val="00665CAD"/>
    <w:rsid w:val="00682226"/>
    <w:rsid w:val="00685822"/>
    <w:rsid w:val="006916BE"/>
    <w:rsid w:val="006A18DD"/>
    <w:rsid w:val="006C29C3"/>
    <w:rsid w:val="00715B09"/>
    <w:rsid w:val="00735DE8"/>
    <w:rsid w:val="00736386"/>
    <w:rsid w:val="00742DFF"/>
    <w:rsid w:val="00750381"/>
    <w:rsid w:val="007521C7"/>
    <w:rsid w:val="007618C9"/>
    <w:rsid w:val="0076292A"/>
    <w:rsid w:val="00773098"/>
    <w:rsid w:val="007B1638"/>
    <w:rsid w:val="007B2F7C"/>
    <w:rsid w:val="007C748F"/>
    <w:rsid w:val="007D5145"/>
    <w:rsid w:val="00842344"/>
    <w:rsid w:val="008470E3"/>
    <w:rsid w:val="00856646"/>
    <w:rsid w:val="008716AE"/>
    <w:rsid w:val="00883FC5"/>
    <w:rsid w:val="008A1BF3"/>
    <w:rsid w:val="008A58B4"/>
    <w:rsid w:val="008A6F51"/>
    <w:rsid w:val="008B1ACA"/>
    <w:rsid w:val="008C6E62"/>
    <w:rsid w:val="008F4E2D"/>
    <w:rsid w:val="0091236B"/>
    <w:rsid w:val="00912878"/>
    <w:rsid w:val="00926C51"/>
    <w:rsid w:val="00930279"/>
    <w:rsid w:val="009346F0"/>
    <w:rsid w:val="00936A82"/>
    <w:rsid w:val="00957EA8"/>
    <w:rsid w:val="00974807"/>
    <w:rsid w:val="0099160D"/>
    <w:rsid w:val="009D6185"/>
    <w:rsid w:val="009D678A"/>
    <w:rsid w:val="009F442F"/>
    <w:rsid w:val="00A0203A"/>
    <w:rsid w:val="00A115DF"/>
    <w:rsid w:val="00A12424"/>
    <w:rsid w:val="00A2483B"/>
    <w:rsid w:val="00A34FD8"/>
    <w:rsid w:val="00A45B9E"/>
    <w:rsid w:val="00A53422"/>
    <w:rsid w:val="00A7683C"/>
    <w:rsid w:val="00A769DB"/>
    <w:rsid w:val="00AA2820"/>
    <w:rsid w:val="00AB7453"/>
    <w:rsid w:val="00AC01D9"/>
    <w:rsid w:val="00AC3082"/>
    <w:rsid w:val="00AD1ACD"/>
    <w:rsid w:val="00AD209E"/>
    <w:rsid w:val="00AE7C65"/>
    <w:rsid w:val="00B1264A"/>
    <w:rsid w:val="00B22933"/>
    <w:rsid w:val="00B32960"/>
    <w:rsid w:val="00B43A75"/>
    <w:rsid w:val="00B57702"/>
    <w:rsid w:val="00B61194"/>
    <w:rsid w:val="00B6354D"/>
    <w:rsid w:val="00B6384B"/>
    <w:rsid w:val="00B66915"/>
    <w:rsid w:val="00B97150"/>
    <w:rsid w:val="00BE15C0"/>
    <w:rsid w:val="00BE2CF4"/>
    <w:rsid w:val="00BF4250"/>
    <w:rsid w:val="00BF5451"/>
    <w:rsid w:val="00C25B4F"/>
    <w:rsid w:val="00C300A7"/>
    <w:rsid w:val="00C34EFD"/>
    <w:rsid w:val="00C5133F"/>
    <w:rsid w:val="00C52FFE"/>
    <w:rsid w:val="00C570C4"/>
    <w:rsid w:val="00C609B2"/>
    <w:rsid w:val="00C95AE1"/>
    <w:rsid w:val="00CA7C49"/>
    <w:rsid w:val="00CC36DE"/>
    <w:rsid w:val="00CF3810"/>
    <w:rsid w:val="00D069A5"/>
    <w:rsid w:val="00D15D81"/>
    <w:rsid w:val="00D2027A"/>
    <w:rsid w:val="00D327D5"/>
    <w:rsid w:val="00D4621D"/>
    <w:rsid w:val="00D679CC"/>
    <w:rsid w:val="00D7108B"/>
    <w:rsid w:val="00D726BE"/>
    <w:rsid w:val="00D81C84"/>
    <w:rsid w:val="00D96473"/>
    <w:rsid w:val="00DB4966"/>
    <w:rsid w:val="00DB57E9"/>
    <w:rsid w:val="00DC3EF6"/>
    <w:rsid w:val="00DC49EF"/>
    <w:rsid w:val="00DC636E"/>
    <w:rsid w:val="00DE71F4"/>
    <w:rsid w:val="00DF1788"/>
    <w:rsid w:val="00DF287C"/>
    <w:rsid w:val="00DF4F22"/>
    <w:rsid w:val="00E059CE"/>
    <w:rsid w:val="00E17EC0"/>
    <w:rsid w:val="00E221B7"/>
    <w:rsid w:val="00E876DA"/>
    <w:rsid w:val="00E95543"/>
    <w:rsid w:val="00F00D40"/>
    <w:rsid w:val="00F05065"/>
    <w:rsid w:val="00F51BA0"/>
    <w:rsid w:val="00F572B4"/>
    <w:rsid w:val="00F703F0"/>
    <w:rsid w:val="00F9379C"/>
    <w:rsid w:val="00FA249F"/>
    <w:rsid w:val="00FB2CCC"/>
    <w:rsid w:val="00FC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048E"/>
  <w15:docId w15:val="{3B0AD9EE-9DC8-4BC2-80B2-E09E880D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BB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BB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B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592B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2B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yxCompInformal">
    <w:name w:val="zyxCompInformal"/>
    <w:basedOn w:val="BodyText"/>
    <w:rsid w:val="00592BB8"/>
    <w:pPr>
      <w:autoSpaceDE/>
      <w:autoSpaceDN/>
      <w:spacing w:after="600" w:line="280" w:lineRule="exact"/>
      <w:ind w:left="4536"/>
      <w:jc w:val="both"/>
    </w:pPr>
    <w:rPr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92BB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592B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2B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0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58B4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1B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3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4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4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42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C3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Migliori@iae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t-ns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t-ns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%20A.Migliori@iaea.org" TargetMode="External"/><Relationship Id="rId10" Type="http://schemas.openxmlformats.org/officeDocument/2006/relationships/hyperlink" Target="http://www.pt-ns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%20A.Migliori@ia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2A460E26AA94EBCC938F4F6556A3B" ma:contentTypeVersion="10" ma:contentTypeDescription="Create a new document." ma:contentTypeScope="" ma:versionID="d7220d100e04ddf48a285084d6347377">
  <xsd:schema xmlns:xsd="http://www.w3.org/2001/XMLSchema" xmlns:xs="http://www.w3.org/2001/XMLSchema" xmlns:p="http://schemas.microsoft.com/office/2006/metadata/properties" xmlns:ns3="72a351cc-4f70-49de-8d21-18aacdb462b2" targetNamespace="http://schemas.microsoft.com/office/2006/metadata/properties" ma:root="true" ma:fieldsID="7ea46ef5322c5528f68e8e8da8ee5e98" ns3:_="">
    <xsd:import namespace="72a351cc-4f70-49de-8d21-18aacdb462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351cc-4f70-49de-8d21-18aacdb4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91890-2332-4F9F-BEB2-882BBCEBC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61A1C-E0CB-49F9-A70D-77F9A9CB0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8850C5-6FEA-4EF0-98D4-F4870EFA9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351cc-4f70-49de-8d21-18aacdb4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3D9D8-277C-4325-9D64-9BFF49816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MIGLIORI, Alessandro</dc:creator>
  <cp:keywords/>
  <dc:description/>
  <cp:lastModifiedBy>MIGLIORI, Alessandro</cp:lastModifiedBy>
  <cp:revision>36</cp:revision>
  <cp:lastPrinted>2026-03-02T08:31:00Z</cp:lastPrinted>
  <dcterms:created xsi:type="dcterms:W3CDTF">2025-02-11T10:27:00Z</dcterms:created>
  <dcterms:modified xsi:type="dcterms:W3CDTF">2026-03-02T08:31:00Z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0x010100C4B2A460E26AA94EBCC938F4F6556A3B</vt:lpwstr>
  </property>
</Properties>
</file>